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来安县自然资源和规划局2023年政府信息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公开工作年度报告</w:t>
      </w:r>
    </w:p>
    <w:p>
      <w:pPr>
        <w:spacing w:line="580" w:lineRule="exact"/>
        <w:rPr>
          <w:rFonts w:ascii="仿宋_GB2312" w:hAnsi="方正仿宋_GBK" w:eastAsia="仿宋_GB2312" w:cs="方正仿宋_GBK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本报告是根据《中华人民共和国政府信息公开条例》（国务院令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711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号）要求，由来安县自然资源和规划局编制。全文包括：202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总体情况、主动公开政府信息情况、收到和处理政府信息公开申请情况、政府信息公开行政复议行政诉讼情况、存在的主要问题及改进情况、其他需要报告的事项等6项内容。本报告中使用数据统计期限为2023年1月1日至12月31日。本报告电子版可在来安县人民政府门户网站（http://www.laian.gov.cn）政府信息公开来安县自然资源和规划局（县林业局）“政府信息公开年报”栏目下载。如有疑问，请与来安县自然资源和规划局联系（地址：滁州市来安县新丰路高新技术创业服务中心</w:t>
      </w:r>
      <w:r>
        <w:rPr>
          <w:rFonts w:ascii="仿宋_GB2312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13楼</w:t>
      </w:r>
      <w:r>
        <w:rPr>
          <w:rFonts w:ascii="仿宋_GB2312" w:eastAsia="仿宋_GB2312"/>
          <w:sz w:val="32"/>
          <w:szCs w:val="32"/>
        </w:rPr>
        <w:t>  </w:t>
      </w:r>
      <w:r>
        <w:rPr>
          <w:rFonts w:hint="eastAsia" w:ascii="仿宋_GB2312" w:eastAsia="仿宋_GB2312"/>
          <w:sz w:val="32"/>
          <w:szCs w:val="32"/>
        </w:rPr>
        <w:t>，电话：0550-5619058，邮编：239200）。</w:t>
      </w:r>
    </w:p>
    <w:p>
      <w:pPr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一、总体情况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（一）主动公开方面。</w:t>
      </w:r>
      <w:r>
        <w:rPr>
          <w:rFonts w:hint="eastAsia" w:ascii="仿宋_GB2312" w:eastAsia="仿宋_GB2312"/>
          <w:sz w:val="32"/>
          <w:szCs w:val="32"/>
        </w:rPr>
        <w:t>2023年度，来安县自然资源和规划局严格按照信息全面公开工作要求，紧紧围绕县委、县政府工作部署，聚焦群众需求，认真做好自然资源和规划及林业领域政务公开工作，充分发挥政府信息对人民群众生产、生活和经济社会活动的服务作用。全年公开政府信息200余条，主要涉及财政资金、重大建设项目批准与实施、国有建设用地使用权出让和矿业权出让、土地征收、政策解读、回应关切等信息，我局将不断增强政府信息公开的科学性和有效性，有效提升社会公众对自然资源工作的了解。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（二）依申请公开方面。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1.严格办理程序。2023年，来安县自然资源和规划局严格按照《政府信息公开条例》关于依申请公开办理的各项工作要求，严格规范办理的各项程序，落实各项办理制度，扎实做好政府信息依申请公开工作。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2.及时主动办理。来安县自然资源和规划局全年共受理依申请公开17件，所接受申请均已按照依申请公开答复规范进行答复。其中自然人申请件17件，法人或其他组织申请件0件，均在法定期限内予以答复。予以公开及部分公开10件，占比59%；因本机关不掌握或政府信息不属于本行政机关公开等原因无法提供7件，占比41%；未出现因依申请公开办理不规范、回复不及时等原因产生的行政复议或行政诉讼结果纠正或败诉情况。</w:t>
      </w:r>
    </w:p>
    <w:p>
      <w:pPr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（三）政府信息管理方面。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加强工作考核。坚持将政府信息公开工作纳入全局年度工作考评一项重要内容，对各股室进行考评，建立健全系统内部通报机制，保障信息内容质量与公开时效。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2.严格落实“三审”制度。对发布的政府信息内容、程序、办理时限责任到人。三是把好信息源头关。开展本部门政府网站突出问题排查整治工作，进一步加强和完善常态化监管，着力提升网上履职尽责能力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（四）政府信息公开平台建设方面。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加强信息发布，推进自然资源领域重点工作的信息公开。持续完善政府信息公开自然资源领域专栏内容，</w:t>
      </w:r>
      <w:r>
        <w:rPr>
          <w:rFonts w:hint="eastAsia" w:ascii="仿宋_GB2312" w:eastAsia="仿宋_GB2312"/>
          <w:color w:val="333333"/>
          <w:sz w:val="32"/>
          <w:szCs w:val="32"/>
          <w:shd w:val="clear" w:color="auto" w:fill="F8F8F8"/>
        </w:rPr>
        <w:t>持续更新政府信息公开制度和信息公开指南，不定期调整或新增专栏，坚持在规定时间内公开我局政府信息公开工作年度报告。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监督保障方面。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1.工作考核方面。印发《来安县自然资源和规划局2023年度政务公开考评方案》，将考评结果计入单位年度目标管理绩效考核。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2.社会评议和责任追究。印发《来安县自然资源和规划局政务公开考核评议制度》，2023年度，我局无重大信息公开责任追究情况。</w:t>
      </w:r>
    </w:p>
    <w:p/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二、主动公开政府信息情况</w:t>
      </w:r>
    </w:p>
    <w:tbl>
      <w:tblPr>
        <w:tblStyle w:val="7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本年制发件数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(县级)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本年废止件数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（县级）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现行有效件数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（县级）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 w:line="200" w:lineRule="exact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ind w:firstLine="200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jc w:val="center"/>
              <w:rPr>
                <w:rFonts w:cs="Calibri"/>
                <w:sz w:val="21"/>
                <w:szCs w:val="21"/>
              </w:rPr>
            </w:pPr>
            <w:r>
              <w:rPr>
                <w:rFonts w:hint="eastAsia" w:cs="Calibri"/>
                <w:sz w:val="21"/>
                <w:szCs w:val="21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widowControl/>
              <w:wordWrap w:val="0"/>
              <w:spacing w:before="0" w:beforeAutospacing="0" w:after="0" w:afterAutospacing="0"/>
              <w:rPr>
                <w:rFonts w:hint="eastAsia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cs="Calibri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五、存在的主要问题及改进措施</w:t>
      </w:r>
    </w:p>
    <w:p>
      <w:pPr>
        <w:spacing w:line="58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（一）存在问题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2023年，我局信息公开工作有序开展，稳步推进，取得了一定的成效，但与县政府要求和人民群众期望相比，还存在明显的提升空间，主要表现在以下几个方面：</w:t>
      </w:r>
    </w:p>
    <w:p>
      <w:pPr>
        <w:pStyle w:val="2"/>
        <w:numPr>
          <w:ilvl w:val="0"/>
          <w:numId w:val="1"/>
        </w:numPr>
        <w:ind w:left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主动公开信息的公开形式和载体有待进一步创新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2政府信息依申请公开答复规范性、严谨性需进一步提升</w:t>
      </w:r>
    </w:p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3信息公开队伍建设仍需进一步加强。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下一步，我局将加大政府信息公开工作力度，一是进一步完善工作制度，拓展政府信息公开的内容。二是进一步加强宣传培训，增强工作人员依法做好政府信息公开工作的能力，进一步加强工作研究，不断提高政府信息公开的水平，更好地服务广大群众。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六、其他需要报告的事项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2"/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right="840" w:rightChars="40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来安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县自然资源和规划局(林业局)            </w:t>
      </w:r>
    </w:p>
    <w:p>
      <w:pPr>
        <w:pStyle w:val="6"/>
        <w:widowControl/>
        <w:shd w:val="clear" w:color="auto" w:fill="FFFFFF"/>
        <w:spacing w:before="0" w:beforeAutospacing="0" w:after="0" w:afterAutospacing="0" w:line="560" w:lineRule="exact"/>
        <w:ind w:right="840" w:rightChars="400" w:firstLine="4160" w:firstLineChars="13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2024年1月26日</w:t>
      </w:r>
    </w:p>
    <w:p>
      <w:pPr>
        <w:pStyle w:val="2"/>
        <w:rPr>
          <w:rFonts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97A638-E198-483C-B3BB-B7D38FE654D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A99A837-EB08-4EF2-9FA9-4B921404D9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94A8D3-DFF9-4197-8539-417141A2ADAB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B0CAA022-F12D-4FA0-BF80-0DE687BA38D7}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C87F5A51-CB0F-4594-A22B-CD7F3345FF4F}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A1C5A49-1975-4885-B308-6C6050201CD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9BC5F4A8-743C-4331-878C-862B9C710AB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084275"/>
    <w:multiLevelType w:val="multilevel"/>
    <w:tmpl w:val="4B08427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yYjU0YTMzOWQzNTU4OGQ1YTExMjlmMWZlZTZhNDUifQ=="/>
  </w:docVars>
  <w:rsids>
    <w:rsidRoot w:val="00257516"/>
    <w:rsid w:val="00065968"/>
    <w:rsid w:val="000E3DF0"/>
    <w:rsid w:val="001F3A22"/>
    <w:rsid w:val="00257516"/>
    <w:rsid w:val="0026223B"/>
    <w:rsid w:val="003334FE"/>
    <w:rsid w:val="003C566E"/>
    <w:rsid w:val="00431B73"/>
    <w:rsid w:val="0053051B"/>
    <w:rsid w:val="005C08FB"/>
    <w:rsid w:val="006730F2"/>
    <w:rsid w:val="007D6FDF"/>
    <w:rsid w:val="00812153"/>
    <w:rsid w:val="00AC77D9"/>
    <w:rsid w:val="00AF3AA9"/>
    <w:rsid w:val="00BA75CC"/>
    <w:rsid w:val="00BE5C4A"/>
    <w:rsid w:val="00C64CC5"/>
    <w:rsid w:val="00C75FB8"/>
    <w:rsid w:val="00C85666"/>
    <w:rsid w:val="00CD466A"/>
    <w:rsid w:val="00D27334"/>
    <w:rsid w:val="00E00E5E"/>
    <w:rsid w:val="00E112B6"/>
    <w:rsid w:val="00E12A65"/>
    <w:rsid w:val="00E370D2"/>
    <w:rsid w:val="00E63698"/>
    <w:rsid w:val="00E851D8"/>
    <w:rsid w:val="00F21E07"/>
    <w:rsid w:val="00FE5951"/>
    <w:rsid w:val="03AA6F29"/>
    <w:rsid w:val="067B56BE"/>
    <w:rsid w:val="07C87738"/>
    <w:rsid w:val="10BE3705"/>
    <w:rsid w:val="126014DE"/>
    <w:rsid w:val="14C32FDF"/>
    <w:rsid w:val="1750716C"/>
    <w:rsid w:val="207217CD"/>
    <w:rsid w:val="2D0464EC"/>
    <w:rsid w:val="30AF4918"/>
    <w:rsid w:val="37C444C2"/>
    <w:rsid w:val="3D970177"/>
    <w:rsid w:val="40016FBE"/>
    <w:rsid w:val="419E6862"/>
    <w:rsid w:val="44565FEF"/>
    <w:rsid w:val="4533498B"/>
    <w:rsid w:val="47220F6A"/>
    <w:rsid w:val="47E52D4A"/>
    <w:rsid w:val="49CB1BAA"/>
    <w:rsid w:val="4F5379AB"/>
    <w:rsid w:val="503F0517"/>
    <w:rsid w:val="531931B7"/>
    <w:rsid w:val="5A1A116A"/>
    <w:rsid w:val="5EAF0B96"/>
    <w:rsid w:val="6C3802AB"/>
    <w:rsid w:val="6C95448F"/>
    <w:rsid w:val="6F366B35"/>
    <w:rsid w:val="7EE02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462</Words>
  <Characters>2640</Characters>
  <Lines>22</Lines>
  <Paragraphs>6</Paragraphs>
  <TotalTime>436</TotalTime>
  <ScaleCrop>false</ScaleCrop>
  <LinksUpToDate>false</LinksUpToDate>
  <CharactersWithSpaces>3096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2024-02-22T08:35:40Z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D8C900E652C6498EB430DD70B6DABA01_13</vt:lpwstr>
  </property>
</Properties>
</file>