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2"/>
        <w:jc w:val="center"/>
        <w:rPr>
          <w:rStyle w:val="15"/>
          <w:rFonts w:hint="default"/>
          <w:i w:val="0"/>
          <w:color w:val="auto"/>
        </w:rPr>
      </w:pPr>
      <w:bookmarkStart w:id="0" w:name="_GoBack"/>
      <w:r>
        <w:rPr>
          <w:rStyle w:val="15"/>
          <w:i w:val="0"/>
          <w:color w:val="auto"/>
        </w:rPr>
        <w:t>来安县公安局2023年政府信息公开工作年度报告</w:t>
      </w:r>
    </w:p>
    <w:bookmarkEnd w:id="0"/>
    <w:p>
      <w:pPr>
        <w:rPr>
          <w:rFonts w:eastAsia="黑体"/>
          <w:color w:val="auto"/>
        </w:rPr>
      </w:pPr>
    </w:p>
    <w:p>
      <w:pPr>
        <w:pStyle w:val="6"/>
        <w:widowControl/>
        <w:shd w:val="clear" w:color="auto" w:fill="FFFFFF"/>
        <w:spacing w:beforeAutospacing="0" w:afterAutospacing="0" w:line="560" w:lineRule="atLeast"/>
        <w:ind w:firstLine="640"/>
        <w:jc w:val="both"/>
        <w:rPr>
          <w:rFonts w:ascii="宋体" w:hAnsi="宋体" w:eastAsia="宋体" w:cs="宋体"/>
          <w:color w:val="auto"/>
        </w:rPr>
      </w:pPr>
      <w:r>
        <w:rPr>
          <w:rFonts w:ascii="仿宋" w:hAnsi="仿宋" w:eastAsia="仿宋" w:cs="仿宋"/>
          <w:color w:val="auto"/>
          <w:sz w:val="32"/>
          <w:szCs w:val="32"/>
          <w:shd w:val="clear" w:color="auto" w:fill="FFFFFF"/>
        </w:rPr>
        <w:t>本年度报告是根据《中华人民共和国政府信息公开条例》（国务院令</w:t>
      </w:r>
      <w:r>
        <w:rPr>
          <w:rFonts w:hint="eastAsia" w:ascii="仿宋" w:hAnsi="仿宋" w:eastAsia="仿宋" w:cs="仿宋"/>
          <w:color w:val="auto"/>
          <w:sz w:val="32"/>
          <w:szCs w:val="32"/>
          <w:shd w:val="clear" w:color="auto" w:fill="FFFFFF"/>
        </w:rPr>
        <w:t> 711 号）要求，由来安县公安局编制。全文包括：2023年度总体情况、主动公开政府信息情况、收到和处理政府信息公开申请情况、政府信息公开行政复议行政诉讼情况、存在的主要问题及改进情况、其他需要报告的事项等6项内容。本年度报告中使用数据统计期限为2023年1月1日至12月31日。本年度报告的电子版可在来安县人民政府门户网站（http://www.laian.gov.cn/）政府信息公开来安县公安局“政府信息公开年报”栏目下载。如对本报告有任何疑问，请与来安县公安局办公室联系（地址：滁州市来安县黎明路110指挥中心9楼，电话：0550-5608008，邮编：239200）。</w:t>
      </w:r>
    </w:p>
    <w:p>
      <w:pPr>
        <w:pStyle w:val="6"/>
        <w:widowControl/>
        <w:shd w:val="clear" w:color="auto" w:fill="FFFFFF"/>
        <w:spacing w:beforeAutospacing="0" w:afterAutospacing="0" w:line="560" w:lineRule="atLeast"/>
        <w:ind w:firstLine="643"/>
        <w:rPr>
          <w:rFonts w:ascii="黑体" w:hAnsi="黑体" w:eastAsia="黑体" w:cs="宋体"/>
          <w:color w:val="auto"/>
        </w:rPr>
      </w:pPr>
      <w:r>
        <w:rPr>
          <w:rFonts w:hint="eastAsia" w:ascii="黑体" w:hAnsi="黑体" w:eastAsia="黑体" w:cs="仿宋"/>
          <w:bCs/>
          <w:color w:val="auto"/>
          <w:sz w:val="32"/>
          <w:szCs w:val="32"/>
          <w:shd w:val="clear" w:color="auto" w:fill="FFFFFF"/>
        </w:rPr>
        <w:t>一、总体情况</w:t>
      </w:r>
    </w:p>
    <w:p>
      <w:pPr>
        <w:pStyle w:val="6"/>
        <w:widowControl/>
        <w:shd w:val="clear" w:color="auto" w:fill="FFFFFF"/>
        <w:spacing w:beforeAutospacing="0" w:afterAutospacing="0" w:line="560" w:lineRule="atLeast"/>
        <w:ind w:firstLine="643"/>
        <w:rPr>
          <w:rFonts w:ascii="宋体" w:hAnsi="宋体" w:eastAsia="宋体" w:cs="宋体"/>
          <w:color w:val="auto"/>
        </w:rPr>
      </w:pPr>
      <w:r>
        <w:rPr>
          <w:rFonts w:hint="eastAsia" w:ascii="仿宋" w:hAnsi="仿宋" w:eastAsia="仿宋" w:cs="仿宋"/>
          <w:b/>
          <w:bCs/>
          <w:color w:val="auto"/>
          <w:sz w:val="32"/>
          <w:szCs w:val="32"/>
          <w:shd w:val="clear" w:color="auto" w:fill="FFFFFF"/>
        </w:rPr>
        <w:t xml:space="preserve"> (一）主动公开</w:t>
      </w:r>
    </w:p>
    <w:p>
      <w:pPr>
        <w:pStyle w:val="6"/>
        <w:widowControl/>
        <w:shd w:val="clear" w:color="auto" w:fill="FFFFFF"/>
        <w:spacing w:beforeAutospacing="0" w:afterAutospacing="0" w:line="560" w:lineRule="atLeast"/>
        <w:ind w:firstLine="640"/>
        <w:rPr>
          <w:rFonts w:ascii="宋体" w:hAnsi="宋体" w:eastAsia="宋体" w:cs="宋体"/>
          <w:color w:val="auto"/>
        </w:rPr>
      </w:pPr>
      <w:r>
        <w:rPr>
          <w:rFonts w:hint="eastAsia" w:ascii="仿宋" w:hAnsi="仿宋" w:eastAsia="仿宋" w:cs="仿宋"/>
          <w:color w:val="auto"/>
          <w:sz w:val="32"/>
          <w:szCs w:val="32"/>
          <w:shd w:val="clear" w:color="auto" w:fill="FFFFFF"/>
        </w:rPr>
        <w:t>来安县公安局在不违反国家工作秘密和警务工作秘密的前提下，2023年线上公开政务信息109条。其中，答复领导信箱留言26条，基层政务公开标准化、规范化（户籍管理）12条。</w:t>
      </w:r>
    </w:p>
    <w:p>
      <w:pPr>
        <w:pStyle w:val="6"/>
        <w:widowControl/>
        <w:shd w:val="clear" w:color="auto" w:fill="FFFFFF"/>
        <w:spacing w:beforeAutospacing="0" w:afterAutospacing="0" w:line="560" w:lineRule="atLeast"/>
        <w:ind w:firstLine="643"/>
        <w:rPr>
          <w:rFonts w:ascii="仿宋" w:hAnsi="仿宋" w:eastAsia="仿宋" w:cs="仿宋"/>
          <w:b/>
          <w:bCs/>
          <w:iCs/>
          <w:color w:val="auto"/>
          <w:sz w:val="32"/>
          <w:szCs w:val="32"/>
          <w:shd w:val="clear" w:color="auto" w:fill="FFFFFF"/>
        </w:rPr>
      </w:pPr>
      <w:r>
        <w:rPr>
          <w:rFonts w:hint="eastAsia" w:ascii="仿宋" w:hAnsi="仿宋" w:eastAsia="仿宋" w:cs="仿宋"/>
          <w:b/>
          <w:bCs/>
          <w:iCs/>
          <w:color w:val="auto"/>
          <w:sz w:val="32"/>
          <w:szCs w:val="32"/>
          <w:shd w:val="clear" w:color="auto" w:fill="FFFFFF"/>
        </w:rPr>
        <w:t>（二）依申请公开</w:t>
      </w:r>
    </w:p>
    <w:p>
      <w:pPr>
        <w:pStyle w:val="6"/>
        <w:widowControl/>
        <w:shd w:val="clear" w:color="auto" w:fill="FFFFFF"/>
        <w:spacing w:beforeAutospacing="0" w:afterAutospacing="0" w:line="560" w:lineRule="atLeast"/>
        <w:ind w:firstLine="643"/>
        <w:rPr>
          <w:rFonts w:ascii="仿宋" w:hAnsi="仿宋" w:eastAsia="仿宋" w:cs="仿宋"/>
          <w:iCs/>
          <w:color w:val="auto"/>
          <w:sz w:val="32"/>
          <w:szCs w:val="32"/>
          <w:shd w:val="clear" w:color="auto" w:fill="FFFFFF"/>
        </w:rPr>
      </w:pPr>
      <w:r>
        <w:rPr>
          <w:rFonts w:hint="eastAsia" w:ascii="仿宋" w:hAnsi="仿宋" w:eastAsia="仿宋" w:cs="仿宋"/>
          <w:iCs/>
          <w:color w:val="auto"/>
          <w:sz w:val="32"/>
          <w:szCs w:val="32"/>
          <w:shd w:val="clear" w:color="auto" w:fill="FFFFFF"/>
        </w:rPr>
        <w:t>认真贯彻落实新《条例》，按照《安徽省人民政府办公厅政府信息依申请公开办理规程》，进一步明确规范依申请公开登记、审核、办理、答复、送达、归档等各项工作环节，并在县政务公开办具体指导下，扎实做好依申请公开件的办理工作。</w:t>
      </w:r>
      <w:r>
        <w:rPr>
          <w:rFonts w:ascii="仿宋" w:hAnsi="仿宋" w:eastAsia="仿宋" w:cs="仿宋"/>
          <w:iCs/>
          <w:color w:val="auto"/>
          <w:sz w:val="32"/>
          <w:szCs w:val="32"/>
          <w:shd w:val="clear" w:color="auto" w:fill="FFFFFF"/>
        </w:rPr>
        <w:t>截止</w:t>
      </w:r>
      <w:r>
        <w:rPr>
          <w:rFonts w:hint="eastAsia" w:ascii="仿宋" w:hAnsi="仿宋" w:eastAsia="仿宋" w:cs="仿宋"/>
          <w:iCs/>
          <w:color w:val="auto"/>
          <w:sz w:val="32"/>
          <w:szCs w:val="32"/>
          <w:shd w:val="clear" w:color="auto" w:fill="FFFFFF"/>
        </w:rPr>
        <w:t>2023年12月31日，我局线上、线下未收到自然人、法人或其他组织提出的公开政府信息的申请。</w:t>
      </w:r>
    </w:p>
    <w:p>
      <w:pPr>
        <w:pStyle w:val="6"/>
        <w:widowControl/>
        <w:shd w:val="clear" w:color="auto" w:fill="FFFFFF"/>
        <w:spacing w:beforeAutospacing="0" w:afterAutospacing="0" w:line="560" w:lineRule="atLeast"/>
        <w:ind w:firstLine="643"/>
        <w:rPr>
          <w:rFonts w:ascii="仿宋" w:hAnsi="仿宋" w:eastAsia="仿宋" w:cs="仿宋"/>
          <w:b/>
          <w:iCs/>
          <w:color w:val="auto"/>
          <w:sz w:val="32"/>
          <w:szCs w:val="32"/>
          <w:shd w:val="clear" w:color="auto" w:fill="FFFFFF"/>
        </w:rPr>
      </w:pPr>
      <w:r>
        <w:rPr>
          <w:rFonts w:hint="eastAsia" w:ascii="仿宋" w:hAnsi="仿宋" w:eastAsia="仿宋" w:cs="仿宋"/>
          <w:b/>
          <w:iCs/>
          <w:color w:val="auto"/>
          <w:sz w:val="32"/>
          <w:szCs w:val="32"/>
          <w:shd w:val="clear" w:color="auto" w:fill="FFFFFF"/>
        </w:rPr>
        <w:t>（三）政府信息管理</w:t>
      </w:r>
    </w:p>
    <w:p>
      <w:pPr>
        <w:pStyle w:val="6"/>
        <w:widowControl/>
        <w:shd w:val="clear" w:color="auto" w:fill="FFFFFF"/>
        <w:spacing w:beforeAutospacing="0" w:afterAutospacing="0" w:line="560" w:lineRule="atLeast"/>
        <w:ind w:firstLine="643"/>
        <w:rPr>
          <w:rFonts w:ascii="仿宋" w:hAnsi="仿宋" w:eastAsia="仿宋" w:cs="仿宋"/>
          <w:iCs/>
          <w:color w:val="auto"/>
          <w:sz w:val="32"/>
          <w:szCs w:val="32"/>
          <w:shd w:val="clear" w:color="auto" w:fill="FFFFFF"/>
        </w:rPr>
      </w:pPr>
      <w:r>
        <w:rPr>
          <w:rFonts w:hint="eastAsia" w:ascii="仿宋" w:hAnsi="仿宋" w:eastAsia="仿宋" w:cs="仿宋"/>
          <w:iCs/>
          <w:color w:val="auto"/>
          <w:sz w:val="32"/>
          <w:szCs w:val="32"/>
          <w:shd w:val="clear" w:color="auto" w:fill="FFFFFF"/>
        </w:rPr>
        <w:t>我局</w:t>
      </w:r>
      <w:r>
        <w:rPr>
          <w:rFonts w:ascii="仿宋" w:hAnsi="仿宋" w:eastAsia="仿宋" w:cs="仿宋"/>
          <w:iCs/>
          <w:color w:val="auto"/>
          <w:sz w:val="32"/>
          <w:szCs w:val="32"/>
          <w:shd w:val="clear" w:color="auto" w:fill="FFFFFF"/>
        </w:rPr>
        <w:t>高度重视政务公开工作，在理论中心组学习会议及平时业务工作会议中组织各</w:t>
      </w:r>
      <w:r>
        <w:rPr>
          <w:rFonts w:hint="eastAsia" w:ascii="仿宋" w:hAnsi="仿宋" w:eastAsia="仿宋" w:cs="仿宋"/>
          <w:iCs/>
          <w:color w:val="auto"/>
          <w:sz w:val="32"/>
          <w:szCs w:val="32"/>
          <w:shd w:val="clear" w:color="auto" w:fill="FFFFFF"/>
        </w:rPr>
        <w:t>部门</w:t>
      </w:r>
      <w:r>
        <w:rPr>
          <w:rFonts w:ascii="仿宋" w:hAnsi="仿宋" w:eastAsia="仿宋" w:cs="仿宋"/>
          <w:iCs/>
          <w:color w:val="auto"/>
          <w:sz w:val="32"/>
          <w:szCs w:val="32"/>
          <w:shd w:val="clear" w:color="auto" w:fill="FFFFFF"/>
        </w:rPr>
        <w:t>工作人员认真学习《中华人民共和国政府信息公开条例》等文件精神，分管领导及工作人员积极参加县政府办组织开展的各类政务公开工作等培训活动，定期对本局政务公开工作开展自查和整改，学习借鉴先进做法和成功经验，</w:t>
      </w:r>
      <w:r>
        <w:rPr>
          <w:rFonts w:hint="eastAsia" w:ascii="仿宋" w:hAnsi="仿宋" w:eastAsia="仿宋" w:cs="仿宋"/>
          <w:iCs/>
          <w:color w:val="auto"/>
          <w:sz w:val="32"/>
          <w:szCs w:val="32"/>
          <w:shd w:val="clear" w:color="auto" w:fill="FFFFFF"/>
        </w:rPr>
        <w:t>不断提升政府信息管理的规范化水平，</w:t>
      </w:r>
      <w:r>
        <w:rPr>
          <w:rFonts w:ascii="仿宋" w:hAnsi="仿宋" w:eastAsia="仿宋" w:cs="仿宋"/>
          <w:iCs/>
          <w:color w:val="auto"/>
          <w:sz w:val="32"/>
          <w:szCs w:val="32"/>
          <w:shd w:val="clear" w:color="auto" w:fill="FFFFFF"/>
        </w:rPr>
        <w:t>确保政府信息主动公开工作及时高效、规范有序。</w:t>
      </w:r>
    </w:p>
    <w:p>
      <w:pPr>
        <w:pStyle w:val="6"/>
        <w:widowControl/>
        <w:shd w:val="clear" w:color="auto" w:fill="FFFFFF"/>
        <w:spacing w:beforeAutospacing="0" w:afterAutospacing="0" w:line="560" w:lineRule="atLeast"/>
        <w:ind w:firstLine="643"/>
        <w:rPr>
          <w:rFonts w:ascii="仿宋" w:hAnsi="仿宋" w:eastAsia="仿宋" w:cs="仿宋"/>
          <w:b/>
          <w:iCs/>
          <w:color w:val="auto"/>
          <w:sz w:val="32"/>
          <w:szCs w:val="32"/>
          <w:shd w:val="clear" w:color="auto" w:fill="FFFFFF"/>
        </w:rPr>
      </w:pPr>
      <w:r>
        <w:rPr>
          <w:rFonts w:hint="eastAsia" w:ascii="仿宋" w:hAnsi="仿宋" w:eastAsia="仿宋" w:cs="仿宋"/>
          <w:b/>
          <w:iCs/>
          <w:color w:val="auto"/>
          <w:sz w:val="32"/>
          <w:szCs w:val="32"/>
          <w:shd w:val="clear" w:color="auto" w:fill="FFFFFF"/>
        </w:rPr>
        <w:t>（四）公开平台建设</w:t>
      </w:r>
    </w:p>
    <w:p>
      <w:pPr>
        <w:pStyle w:val="6"/>
        <w:widowControl/>
        <w:shd w:val="clear" w:color="auto" w:fill="FFFFFF"/>
        <w:spacing w:beforeAutospacing="0" w:afterAutospacing="0" w:line="560" w:lineRule="atLeast"/>
        <w:ind w:firstLine="643"/>
        <w:rPr>
          <w:rFonts w:ascii="仿宋" w:hAnsi="仿宋" w:eastAsia="仿宋" w:cs="仿宋"/>
          <w:iCs/>
          <w:color w:val="auto"/>
          <w:sz w:val="32"/>
          <w:szCs w:val="32"/>
          <w:shd w:val="clear" w:color="auto" w:fill="FFFFFF"/>
        </w:rPr>
      </w:pPr>
      <w:r>
        <w:rPr>
          <w:rFonts w:ascii="仿宋" w:hAnsi="仿宋" w:eastAsia="仿宋" w:cs="仿宋"/>
          <w:iCs/>
          <w:color w:val="auto"/>
          <w:sz w:val="32"/>
          <w:szCs w:val="32"/>
          <w:shd w:val="clear" w:color="auto" w:fill="FFFFFF"/>
        </w:rPr>
        <w:t>根据</w:t>
      </w:r>
      <w:r>
        <w:rPr>
          <w:rFonts w:hint="eastAsia" w:ascii="仿宋" w:hAnsi="仿宋" w:eastAsia="仿宋" w:cs="仿宋"/>
          <w:iCs/>
          <w:color w:val="auto"/>
          <w:sz w:val="32"/>
          <w:szCs w:val="32"/>
          <w:shd w:val="clear" w:color="auto" w:fill="FFFFFF"/>
        </w:rPr>
        <w:t>县政府信息公开目录调整的相关要求，按照标准设置目录，定期发布更新相关信息，做到应公开，尽公开，通过公众号、政府信息公开平台广泛开展宣传，确保公民的知情权得到保障</w:t>
      </w:r>
    </w:p>
    <w:p>
      <w:pPr>
        <w:pStyle w:val="6"/>
        <w:widowControl/>
        <w:shd w:val="clear" w:color="auto" w:fill="FFFFFF"/>
        <w:spacing w:beforeAutospacing="0" w:afterAutospacing="0" w:line="560" w:lineRule="atLeast"/>
        <w:ind w:firstLine="643"/>
        <w:rPr>
          <w:rFonts w:hint="eastAsia" w:ascii="仿宋" w:hAnsi="仿宋" w:eastAsia="仿宋" w:cs="仿宋"/>
          <w:b/>
          <w:iCs/>
          <w:color w:val="auto"/>
          <w:sz w:val="32"/>
          <w:szCs w:val="32"/>
          <w:shd w:val="clear" w:color="auto" w:fill="FFFFFF"/>
        </w:rPr>
      </w:pPr>
      <w:r>
        <w:rPr>
          <w:rFonts w:hint="eastAsia" w:ascii="仿宋" w:hAnsi="仿宋" w:eastAsia="仿宋" w:cs="仿宋"/>
          <w:b/>
          <w:iCs/>
          <w:color w:val="auto"/>
          <w:sz w:val="32"/>
          <w:szCs w:val="32"/>
          <w:shd w:val="clear" w:color="auto" w:fill="FFFFFF"/>
        </w:rPr>
        <w:t>（五）监督保障</w:t>
      </w:r>
    </w:p>
    <w:p>
      <w:pPr>
        <w:pStyle w:val="6"/>
        <w:widowControl/>
        <w:shd w:val="clear" w:color="auto" w:fill="FFFFFF"/>
        <w:spacing w:beforeAutospacing="0" w:afterAutospacing="0" w:line="560" w:lineRule="atLeast"/>
        <w:ind w:firstLine="643"/>
        <w:rPr>
          <w:rFonts w:hint="eastAsia" w:ascii="仿宋" w:hAnsi="仿宋" w:eastAsia="仿宋" w:cs="仿宋"/>
          <w:i w:val="0"/>
          <w:iCs w:val="0"/>
          <w:caps w:val="0"/>
          <w:color w:val="auto"/>
          <w:spacing w:val="0"/>
          <w:sz w:val="32"/>
          <w:szCs w:val="32"/>
          <w:shd w:val="clear" w:fill="FFFFFF"/>
        </w:rPr>
      </w:pPr>
      <w:r>
        <w:rPr>
          <w:rFonts w:ascii="仿宋" w:hAnsi="仿宋" w:eastAsia="仿宋" w:cs="仿宋"/>
          <w:i w:val="0"/>
          <w:iCs w:val="0"/>
          <w:caps w:val="0"/>
          <w:color w:val="auto"/>
          <w:spacing w:val="0"/>
          <w:sz w:val="32"/>
          <w:szCs w:val="32"/>
          <w:shd w:val="clear" w:fill="FFFFFF"/>
        </w:rPr>
        <w:t>1.</w:t>
      </w:r>
      <w:r>
        <w:rPr>
          <w:rFonts w:hint="eastAsia" w:ascii="仿宋" w:hAnsi="仿宋" w:eastAsia="仿宋" w:cs="仿宋"/>
          <w:iCs/>
          <w:color w:val="auto"/>
          <w:sz w:val="32"/>
          <w:szCs w:val="32"/>
          <w:shd w:val="clear" w:color="auto" w:fill="FFFFFF"/>
          <w:lang w:eastAsia="zh-CN"/>
        </w:rPr>
        <w:t>工作考核</w:t>
      </w:r>
      <w:r>
        <w:rPr>
          <w:rFonts w:ascii="仿宋" w:hAnsi="仿宋" w:eastAsia="仿宋" w:cs="仿宋"/>
          <w:i w:val="0"/>
          <w:iCs w:val="0"/>
          <w:caps w:val="0"/>
          <w:color w:val="auto"/>
          <w:spacing w:val="0"/>
          <w:sz w:val="32"/>
          <w:szCs w:val="32"/>
          <w:shd w:val="clear" w:fill="FFFFFF"/>
        </w:rPr>
        <w:t>方面。</w:t>
      </w:r>
      <w:r>
        <w:rPr>
          <w:rFonts w:hint="eastAsia" w:ascii="仿宋" w:hAnsi="仿宋" w:eastAsia="仿宋" w:cs="仿宋"/>
          <w:i w:val="0"/>
          <w:iCs w:val="0"/>
          <w:caps w:val="0"/>
          <w:color w:val="auto"/>
          <w:spacing w:val="0"/>
          <w:sz w:val="32"/>
          <w:szCs w:val="32"/>
          <w:shd w:val="clear" w:fill="FFFFFF"/>
        </w:rPr>
        <w:t>我局将政务公开工作纳入本单位重要</w:t>
      </w:r>
      <w:r>
        <w:rPr>
          <w:rFonts w:hint="eastAsia" w:ascii="仿宋" w:hAnsi="仿宋" w:eastAsia="仿宋" w:cs="仿宋"/>
          <w:i w:val="0"/>
          <w:iCs w:val="0"/>
          <w:caps w:val="0"/>
          <w:color w:val="auto"/>
          <w:spacing w:val="0"/>
          <w:sz w:val="32"/>
          <w:szCs w:val="32"/>
          <w:shd w:val="clear" w:fill="FFFFFF"/>
          <w:lang w:eastAsia="zh-CN"/>
        </w:rPr>
        <w:t>工作部署</w:t>
      </w:r>
      <w:r>
        <w:rPr>
          <w:rFonts w:hint="eastAsia" w:ascii="仿宋" w:hAnsi="仿宋" w:eastAsia="仿宋" w:cs="仿宋"/>
          <w:i w:val="0"/>
          <w:iCs w:val="0"/>
          <w:caps w:val="0"/>
          <w:color w:val="auto"/>
          <w:spacing w:val="0"/>
          <w:sz w:val="32"/>
          <w:szCs w:val="32"/>
          <w:shd w:val="clear" w:fill="FFFFFF"/>
        </w:rPr>
        <w:t>，明确分管领导，</w:t>
      </w:r>
      <w:r>
        <w:rPr>
          <w:rFonts w:hint="eastAsia" w:ascii="仿宋" w:hAnsi="仿宋" w:eastAsia="仿宋" w:cs="仿宋"/>
          <w:i w:val="0"/>
          <w:iCs w:val="0"/>
          <w:caps w:val="0"/>
          <w:color w:val="auto"/>
          <w:spacing w:val="0"/>
          <w:sz w:val="32"/>
          <w:szCs w:val="32"/>
          <w:shd w:val="clear" w:fill="FFFFFF"/>
          <w:lang w:eastAsia="zh-CN"/>
        </w:rPr>
        <w:t>压实</w:t>
      </w:r>
      <w:r>
        <w:rPr>
          <w:rFonts w:hint="eastAsia" w:ascii="仿宋" w:hAnsi="仿宋" w:eastAsia="仿宋" w:cs="仿宋"/>
          <w:iCs/>
          <w:color w:val="auto"/>
          <w:sz w:val="32"/>
          <w:szCs w:val="32"/>
          <w:shd w:val="clear" w:color="auto" w:fill="FFFFFF"/>
          <w:lang w:eastAsia="zh-CN"/>
        </w:rPr>
        <w:t>岗位</w:t>
      </w:r>
      <w:r>
        <w:rPr>
          <w:rFonts w:hint="eastAsia" w:ascii="仿宋" w:hAnsi="仿宋" w:eastAsia="仿宋" w:cs="仿宋"/>
          <w:iCs/>
          <w:color w:val="auto"/>
          <w:sz w:val="32"/>
          <w:szCs w:val="32"/>
          <w:shd w:val="clear" w:color="auto" w:fill="FFFFFF"/>
        </w:rPr>
        <w:t>职责</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Cs/>
          <w:color w:val="auto"/>
          <w:sz w:val="32"/>
          <w:szCs w:val="32"/>
          <w:shd w:val="clear" w:color="auto" w:fill="FFFFFF"/>
        </w:rPr>
        <w:t>将任务落实到人</w:t>
      </w:r>
      <w:r>
        <w:rPr>
          <w:rFonts w:hint="eastAsia" w:ascii="仿宋" w:hAnsi="仿宋" w:eastAsia="仿宋" w:cs="仿宋"/>
          <w:iCs/>
          <w:color w:val="auto"/>
          <w:sz w:val="32"/>
          <w:szCs w:val="32"/>
          <w:shd w:val="clear" w:color="auto" w:fill="FFFFFF"/>
          <w:lang w:eastAsia="zh-CN"/>
        </w:rPr>
        <w:t>，确保</w:t>
      </w:r>
      <w:r>
        <w:rPr>
          <w:rFonts w:hint="eastAsia" w:ascii="仿宋" w:hAnsi="仿宋" w:eastAsia="仿宋" w:cs="仿宋"/>
          <w:iCs/>
          <w:color w:val="auto"/>
          <w:sz w:val="32"/>
          <w:szCs w:val="32"/>
          <w:shd w:val="clear" w:color="auto" w:fill="FFFFFF"/>
        </w:rPr>
        <w:t>有力推进各项</w:t>
      </w:r>
      <w:r>
        <w:rPr>
          <w:rFonts w:hint="eastAsia" w:ascii="仿宋" w:hAnsi="仿宋" w:eastAsia="仿宋" w:cs="仿宋"/>
          <w:iCs/>
          <w:color w:val="auto"/>
          <w:sz w:val="32"/>
          <w:szCs w:val="32"/>
          <w:shd w:val="clear" w:color="auto" w:fill="FFFFFF"/>
          <w:lang w:eastAsia="zh-CN"/>
        </w:rPr>
        <w:t>信息公开</w:t>
      </w:r>
      <w:r>
        <w:rPr>
          <w:rFonts w:hint="eastAsia" w:ascii="仿宋" w:hAnsi="仿宋" w:eastAsia="仿宋" w:cs="仿宋"/>
          <w:iCs/>
          <w:color w:val="auto"/>
          <w:sz w:val="32"/>
          <w:szCs w:val="32"/>
          <w:shd w:val="clear" w:color="auto" w:fill="FFFFFF"/>
        </w:rPr>
        <w:t>工作顺利开展。</w:t>
      </w:r>
    </w:p>
    <w:p>
      <w:pPr>
        <w:pStyle w:val="6"/>
        <w:widowControl/>
        <w:shd w:val="clear" w:color="auto" w:fill="FFFFFF"/>
        <w:spacing w:beforeAutospacing="0" w:afterAutospacing="0" w:line="560" w:lineRule="atLeast"/>
        <w:ind w:firstLine="643"/>
        <w:rPr>
          <w:rFonts w:ascii="仿宋" w:hAnsi="仿宋" w:eastAsia="仿宋" w:cs="仿宋"/>
          <w:i w:val="0"/>
          <w:iCs w:val="0"/>
          <w:caps w:val="0"/>
          <w:color w:val="auto"/>
          <w:spacing w:val="0"/>
          <w:sz w:val="32"/>
          <w:szCs w:val="32"/>
          <w:shd w:val="clear" w:fill="FFFFFF"/>
        </w:rPr>
      </w:pPr>
      <w:r>
        <w:rPr>
          <w:rFonts w:ascii="仿宋" w:hAnsi="仿宋" w:eastAsia="仿宋" w:cs="仿宋"/>
          <w:i w:val="0"/>
          <w:iCs w:val="0"/>
          <w:caps w:val="0"/>
          <w:color w:val="auto"/>
          <w:spacing w:val="0"/>
          <w:sz w:val="32"/>
          <w:szCs w:val="32"/>
          <w:shd w:val="clear" w:fill="FFFFFF"/>
        </w:rPr>
        <w:t>2.</w:t>
      </w:r>
      <w:r>
        <w:rPr>
          <w:rFonts w:hint="eastAsia" w:ascii="仿宋" w:hAnsi="仿宋" w:eastAsia="仿宋" w:cs="仿宋"/>
          <w:i w:val="0"/>
          <w:iCs w:val="0"/>
          <w:caps w:val="0"/>
          <w:color w:val="auto"/>
          <w:spacing w:val="0"/>
          <w:sz w:val="32"/>
          <w:szCs w:val="32"/>
          <w:shd w:val="clear" w:fill="FFFFFF"/>
          <w:lang w:eastAsia="zh-CN"/>
        </w:rPr>
        <w:t>社会评议</w:t>
      </w:r>
      <w:r>
        <w:rPr>
          <w:rFonts w:ascii="仿宋" w:hAnsi="仿宋" w:eastAsia="仿宋" w:cs="仿宋"/>
          <w:i w:val="0"/>
          <w:iCs w:val="0"/>
          <w:caps w:val="0"/>
          <w:color w:val="auto"/>
          <w:spacing w:val="0"/>
          <w:sz w:val="32"/>
          <w:szCs w:val="32"/>
          <w:shd w:val="clear" w:fill="FFFFFF"/>
        </w:rPr>
        <w:t>方面。</w:t>
      </w:r>
      <w:r>
        <w:rPr>
          <w:rFonts w:hint="eastAsia" w:ascii="仿宋" w:hAnsi="仿宋" w:eastAsia="仿宋" w:cs="仿宋"/>
          <w:i w:val="0"/>
          <w:iCs w:val="0"/>
          <w:caps w:val="0"/>
          <w:color w:val="auto"/>
          <w:spacing w:val="0"/>
          <w:sz w:val="32"/>
          <w:szCs w:val="32"/>
          <w:shd w:val="clear" w:fill="FFFFFF"/>
        </w:rPr>
        <w:t>我局</w:t>
      </w:r>
      <w:r>
        <w:rPr>
          <w:rFonts w:ascii="仿宋" w:hAnsi="仿宋" w:eastAsia="仿宋" w:cs="仿宋"/>
          <w:iCs/>
          <w:color w:val="auto"/>
          <w:sz w:val="32"/>
          <w:szCs w:val="32"/>
          <w:shd w:val="clear" w:color="auto" w:fill="FFFFFF"/>
        </w:rPr>
        <w:t>严格</w:t>
      </w:r>
      <w:r>
        <w:rPr>
          <w:rFonts w:hint="eastAsia" w:ascii="仿宋" w:hAnsi="仿宋" w:eastAsia="仿宋" w:cs="仿宋"/>
          <w:iCs/>
          <w:color w:val="auto"/>
          <w:sz w:val="32"/>
          <w:szCs w:val="32"/>
          <w:shd w:val="clear" w:color="auto" w:fill="FFFFFF"/>
          <w:lang w:eastAsia="zh-CN"/>
        </w:rPr>
        <w:t>落实</w:t>
      </w:r>
      <w:r>
        <w:rPr>
          <w:rFonts w:ascii="仿宋" w:hAnsi="仿宋" w:eastAsia="仿宋" w:cs="仿宋"/>
          <w:iCs/>
          <w:color w:val="auto"/>
          <w:sz w:val="32"/>
          <w:szCs w:val="32"/>
          <w:shd w:val="clear" w:color="auto" w:fill="FFFFFF"/>
        </w:rPr>
        <w:t>政府信息公开前保密审查制度和管理制度，严格执行一事一审</w:t>
      </w:r>
      <w:r>
        <w:rPr>
          <w:rFonts w:hint="eastAsia" w:ascii="仿宋" w:hAnsi="仿宋" w:eastAsia="仿宋" w:cs="仿宋"/>
          <w:iCs/>
          <w:color w:val="auto"/>
          <w:sz w:val="32"/>
          <w:szCs w:val="32"/>
          <w:shd w:val="clear" w:color="auto" w:fill="FFFFFF"/>
          <w:lang w:eastAsia="zh-CN"/>
        </w:rPr>
        <w:t>，确保公开信息安全准确，同时，</w:t>
      </w:r>
      <w:r>
        <w:rPr>
          <w:rFonts w:ascii="仿宋" w:hAnsi="仿宋" w:eastAsia="仿宋" w:cs="仿宋"/>
          <w:iCs/>
          <w:color w:val="auto"/>
          <w:sz w:val="32"/>
          <w:szCs w:val="32"/>
          <w:shd w:val="clear" w:color="auto" w:fill="FFFFFF"/>
        </w:rPr>
        <w:t>为更广泛地接受广大人民群众和社会各界的监督，安排专人每日查看网友留言等信息并及时回复。</w:t>
      </w:r>
    </w:p>
    <w:p>
      <w:pPr>
        <w:pStyle w:val="6"/>
        <w:widowControl/>
        <w:shd w:val="clear" w:color="auto" w:fill="FFFFFF"/>
        <w:spacing w:beforeAutospacing="0" w:afterAutospacing="0" w:line="560" w:lineRule="atLeast"/>
        <w:ind w:firstLine="643"/>
        <w:rPr>
          <w:rFonts w:ascii="仿宋" w:hAnsi="仿宋" w:eastAsia="仿宋" w:cs="仿宋"/>
          <w:b/>
          <w:bCs/>
          <w:iCs/>
          <w:color w:val="auto"/>
          <w:sz w:val="32"/>
          <w:szCs w:val="32"/>
          <w:shd w:val="clear" w:color="auto" w:fill="FFFFFF"/>
        </w:rPr>
      </w:pPr>
      <w:r>
        <w:rPr>
          <w:rFonts w:ascii="仿宋" w:hAnsi="仿宋" w:eastAsia="仿宋" w:cs="仿宋"/>
          <w:i w:val="0"/>
          <w:iCs w:val="0"/>
          <w:caps w:val="0"/>
          <w:color w:val="auto"/>
          <w:spacing w:val="0"/>
          <w:sz w:val="32"/>
          <w:szCs w:val="32"/>
          <w:shd w:val="clear" w:fill="FFFFFF"/>
        </w:rPr>
        <w:t>3.责任追究</w:t>
      </w:r>
      <w:r>
        <w:rPr>
          <w:rFonts w:hint="eastAsia" w:ascii="仿宋" w:hAnsi="仿宋" w:eastAsia="仿宋" w:cs="仿宋"/>
          <w:i w:val="0"/>
          <w:iCs w:val="0"/>
          <w:caps w:val="0"/>
          <w:color w:val="auto"/>
          <w:spacing w:val="0"/>
          <w:sz w:val="32"/>
          <w:szCs w:val="32"/>
          <w:shd w:val="clear" w:fill="FFFFFF"/>
          <w:lang w:eastAsia="zh-CN"/>
        </w:rPr>
        <w:t>结果情况</w:t>
      </w:r>
      <w:r>
        <w:rPr>
          <w:rFonts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rPr>
        <w:t>我局</w:t>
      </w:r>
      <w:r>
        <w:rPr>
          <w:rFonts w:ascii="仿宋_GB2312" w:hAnsi="宋体" w:eastAsia="仿宋_GB2312" w:cs="仿宋_GB2312"/>
          <w:i w:val="0"/>
          <w:iCs w:val="0"/>
          <w:caps w:val="0"/>
          <w:color w:val="auto"/>
          <w:spacing w:val="0"/>
          <w:sz w:val="32"/>
          <w:szCs w:val="32"/>
          <w:shd w:val="clear" w:fill="FFFFFF"/>
        </w:rPr>
        <w:t>注重过程监测和结果运用，定期对重大表述错误、敏感信息</w:t>
      </w:r>
      <w:r>
        <w:rPr>
          <w:rFonts w:hint="eastAsia" w:ascii="仿宋_GB2312" w:hAnsi="宋体" w:eastAsia="仿宋_GB2312" w:cs="仿宋_GB2312"/>
          <w:i w:val="0"/>
          <w:iCs w:val="0"/>
          <w:caps w:val="0"/>
          <w:color w:val="auto"/>
          <w:spacing w:val="0"/>
          <w:sz w:val="32"/>
          <w:szCs w:val="32"/>
          <w:shd w:val="clear" w:fill="FFFFFF"/>
          <w:lang w:eastAsia="zh-CN"/>
        </w:rPr>
        <w:t>、</w:t>
      </w:r>
      <w:r>
        <w:rPr>
          <w:rFonts w:ascii="仿宋_GB2312" w:hAnsi="宋体" w:eastAsia="仿宋_GB2312" w:cs="仿宋_GB2312"/>
          <w:i w:val="0"/>
          <w:iCs w:val="0"/>
          <w:caps w:val="0"/>
          <w:color w:val="auto"/>
          <w:spacing w:val="0"/>
          <w:sz w:val="32"/>
          <w:szCs w:val="32"/>
          <w:shd w:val="clear" w:fill="FFFFFF"/>
        </w:rPr>
        <w:t>涉密信息和个人隐私等内容</w:t>
      </w:r>
      <w:r>
        <w:rPr>
          <w:rFonts w:hint="eastAsia" w:ascii="仿宋_GB2312" w:hAnsi="宋体" w:eastAsia="仿宋_GB2312" w:cs="仿宋_GB2312"/>
          <w:i w:val="0"/>
          <w:iCs w:val="0"/>
          <w:caps w:val="0"/>
          <w:color w:val="auto"/>
          <w:spacing w:val="0"/>
          <w:sz w:val="32"/>
          <w:szCs w:val="32"/>
          <w:shd w:val="clear" w:fill="FFFFFF"/>
          <w:lang w:eastAsia="zh-CN"/>
        </w:rPr>
        <w:t>开展</w:t>
      </w:r>
      <w:r>
        <w:rPr>
          <w:rFonts w:ascii="仿宋_GB2312" w:hAnsi="宋体" w:eastAsia="仿宋_GB2312" w:cs="仿宋_GB2312"/>
          <w:i w:val="0"/>
          <w:iCs w:val="0"/>
          <w:caps w:val="0"/>
          <w:color w:val="auto"/>
          <w:spacing w:val="0"/>
          <w:sz w:val="32"/>
          <w:szCs w:val="32"/>
          <w:shd w:val="clear" w:fill="FFFFFF"/>
        </w:rPr>
        <w:t>排查</w:t>
      </w:r>
      <w:r>
        <w:rPr>
          <w:rFonts w:hint="eastAsia" w:ascii="仿宋_GB2312" w:hAnsi="宋体" w:eastAsia="仿宋_GB2312" w:cs="仿宋_GB2312"/>
          <w:i w:val="0"/>
          <w:iCs w:val="0"/>
          <w:caps w:val="0"/>
          <w:color w:val="auto"/>
          <w:spacing w:val="0"/>
          <w:sz w:val="32"/>
          <w:szCs w:val="32"/>
          <w:shd w:val="clear" w:fill="FFFFFF"/>
          <w:lang w:eastAsia="zh-CN"/>
        </w:rPr>
        <w:t>和评议</w:t>
      </w:r>
      <w:r>
        <w:rPr>
          <w:rFonts w:ascii="仿宋_GB2312" w:hAnsi="宋体" w:eastAsia="仿宋_GB2312" w:cs="仿宋_GB2312"/>
          <w:i w:val="0"/>
          <w:iCs w:val="0"/>
          <w:caps w:val="0"/>
          <w:color w:val="auto"/>
          <w:spacing w:val="0"/>
          <w:sz w:val="32"/>
          <w:szCs w:val="32"/>
          <w:shd w:val="clear" w:fill="FFFFFF"/>
        </w:rPr>
        <w:t>，</w:t>
      </w:r>
      <w:r>
        <w:rPr>
          <w:rFonts w:hint="eastAsia" w:ascii="仿宋_GB2312" w:hAnsi="宋体" w:eastAsia="仿宋_GB2312" w:cs="仿宋_GB2312"/>
          <w:i w:val="0"/>
          <w:iCs w:val="0"/>
          <w:caps w:val="0"/>
          <w:color w:val="auto"/>
          <w:spacing w:val="0"/>
          <w:sz w:val="32"/>
          <w:szCs w:val="32"/>
          <w:shd w:val="clear" w:fill="FFFFFF"/>
          <w:lang w:eastAsia="zh-CN"/>
        </w:rPr>
        <w:t>严防出现信息公开事故</w:t>
      </w:r>
      <w:r>
        <w:rPr>
          <w:rFonts w:ascii="仿宋_GB2312" w:hAnsi="宋体" w:eastAsia="仿宋_GB2312" w:cs="仿宋_GB2312"/>
          <w:i w:val="0"/>
          <w:iCs w:val="0"/>
          <w:caps w:val="0"/>
          <w:color w:val="auto"/>
          <w:spacing w:val="0"/>
          <w:sz w:val="32"/>
          <w:szCs w:val="32"/>
          <w:shd w:val="clear" w:fill="FFFFFF"/>
        </w:rPr>
        <w:t>。</w:t>
      </w:r>
      <w:r>
        <w:rPr>
          <w:rFonts w:ascii="仿宋" w:hAnsi="仿宋" w:eastAsia="仿宋" w:cs="仿宋"/>
          <w:i w:val="0"/>
          <w:iCs w:val="0"/>
          <w:caps w:val="0"/>
          <w:color w:val="auto"/>
          <w:spacing w:val="0"/>
          <w:sz w:val="32"/>
          <w:szCs w:val="32"/>
          <w:shd w:val="clear" w:fill="FFFFFF"/>
        </w:rPr>
        <w:t>2023年度，</w:t>
      </w:r>
      <w:r>
        <w:rPr>
          <w:rFonts w:hint="eastAsia" w:ascii="仿宋" w:hAnsi="仿宋" w:eastAsia="仿宋" w:cs="仿宋"/>
          <w:i w:val="0"/>
          <w:iCs w:val="0"/>
          <w:caps w:val="0"/>
          <w:color w:val="auto"/>
          <w:spacing w:val="0"/>
          <w:sz w:val="32"/>
          <w:szCs w:val="32"/>
          <w:shd w:val="clear" w:fill="FFFFFF"/>
          <w:lang w:eastAsia="zh-CN"/>
        </w:rPr>
        <w:t>我</w:t>
      </w:r>
      <w:r>
        <w:rPr>
          <w:rFonts w:ascii="仿宋" w:hAnsi="仿宋" w:eastAsia="仿宋" w:cs="仿宋"/>
          <w:i w:val="0"/>
          <w:iCs w:val="0"/>
          <w:caps w:val="0"/>
          <w:color w:val="auto"/>
          <w:spacing w:val="0"/>
          <w:sz w:val="32"/>
          <w:szCs w:val="32"/>
          <w:shd w:val="clear" w:fill="FFFFFF"/>
        </w:rPr>
        <w:t>局无重大信息公开责任追究情况。</w:t>
      </w:r>
    </w:p>
    <w:p>
      <w:pPr>
        <w:pStyle w:val="6"/>
        <w:widowControl/>
        <w:shd w:val="clear" w:color="auto" w:fill="FFFFFF"/>
        <w:spacing w:beforeAutospacing="0" w:afterAutospacing="0" w:line="560" w:lineRule="atLeast"/>
        <w:ind w:firstLine="643"/>
        <w:jc w:val="both"/>
        <w:rPr>
          <w:rFonts w:ascii="黑体" w:hAnsi="黑体" w:eastAsia="黑体" w:cs="宋体"/>
          <w:color w:val="auto"/>
        </w:rPr>
      </w:pPr>
      <w:r>
        <w:rPr>
          <w:rFonts w:hint="eastAsia" w:ascii="黑体" w:hAnsi="黑体" w:eastAsia="黑体" w:cs="仿宋"/>
          <w:bCs/>
          <w:color w:val="auto"/>
          <w:sz w:val="32"/>
          <w:szCs w:val="32"/>
          <w:shd w:val="clear" w:color="auto" w:fill="FFFFFF"/>
        </w:rPr>
        <w:t>二、主动公开政府信息情况</w:t>
      </w:r>
    </w:p>
    <w:tbl>
      <w:tblPr>
        <w:tblStyle w:val="8"/>
        <w:tblW w:w="0" w:type="auto"/>
        <w:jc w:val="center"/>
        <w:tblLayout w:type="autofit"/>
        <w:tblCellMar>
          <w:top w:w="15" w:type="dxa"/>
          <w:left w:w="15" w:type="dxa"/>
          <w:bottom w:w="15" w:type="dxa"/>
          <w:right w:w="15" w:type="dxa"/>
        </w:tblCellMar>
      </w:tblPr>
      <w:tblGrid>
        <w:gridCol w:w="3113"/>
        <w:gridCol w:w="1719"/>
        <w:gridCol w:w="246"/>
        <w:gridCol w:w="1181"/>
        <w:gridCol w:w="96"/>
        <w:gridCol w:w="1785"/>
        <w:gridCol w:w="250"/>
      </w:tblGrid>
      <w:tr>
        <w:tblPrEx>
          <w:tblCellMar>
            <w:top w:w="15" w:type="dxa"/>
            <w:left w:w="15" w:type="dxa"/>
            <w:bottom w:w="15" w:type="dxa"/>
            <w:right w:w="15" w:type="dxa"/>
          </w:tblCellMar>
        </w:tblPrEx>
        <w:trPr>
          <w:trHeight w:val="495" w:hRule="atLeast"/>
          <w:jc w:val="center"/>
        </w:trPr>
        <w:tc>
          <w:tcPr>
            <w:tcW w:w="8140" w:type="dxa"/>
            <w:gridSpan w:val="6"/>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第二十条第（一）项</w:t>
            </w:r>
          </w:p>
        </w:tc>
        <w:tc>
          <w:tcPr>
            <w:tcW w:w="90" w:type="dxa"/>
            <w:shd w:val="clear" w:color="auto" w:fill="F8F8F8"/>
            <w:tcMar>
              <w:top w:w="0" w:type="dxa"/>
              <w:left w:w="0" w:type="dxa"/>
              <w:bottom w:w="0" w:type="dxa"/>
              <w:right w:w="0" w:type="dxa"/>
            </w:tcMar>
            <w:vAlign w:val="center"/>
          </w:tcPr>
          <w:p>
            <w:pPr>
              <w:widowControl/>
              <w:wordWrap w:val="0"/>
              <w:rPr>
                <w:color w:val="auto"/>
              </w:rPr>
            </w:pPr>
            <w:r>
              <w:rPr>
                <w:rFonts w:hint="eastAsia" w:ascii="宋体" w:hAnsi="宋体" w:eastAsia="宋体" w:cs="宋体"/>
                <w:color w:val="auto"/>
                <w:kern w:val="0"/>
                <w:sz w:val="24"/>
              </w:rPr>
              <w:t> </w:t>
            </w:r>
          </w:p>
        </w:tc>
      </w:tr>
      <w:tr>
        <w:tblPrEx>
          <w:tblCellMar>
            <w:top w:w="15" w:type="dxa"/>
            <w:left w:w="15" w:type="dxa"/>
            <w:bottom w:w="15" w:type="dxa"/>
            <w:right w:w="15"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信息内容</w:t>
            </w:r>
          </w:p>
        </w:tc>
        <w:tc>
          <w:tcPr>
            <w:tcW w:w="17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本年制发件数</w:t>
            </w:r>
          </w:p>
        </w:tc>
        <w:tc>
          <w:tcPr>
            <w:tcW w:w="142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本年废止件数</w:t>
            </w:r>
          </w:p>
        </w:tc>
        <w:tc>
          <w:tcPr>
            <w:tcW w:w="1881"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1"/>
                <w:szCs w:val="21"/>
              </w:rPr>
              <w:t>现行有效件数</w:t>
            </w:r>
          </w:p>
        </w:tc>
        <w:tc>
          <w:tcPr>
            <w:tcW w:w="90" w:type="dxa"/>
            <w:shd w:val="clear" w:color="auto" w:fill="F8F8F8"/>
            <w:tcMar>
              <w:top w:w="0" w:type="dxa"/>
              <w:left w:w="0" w:type="dxa"/>
              <w:bottom w:w="0" w:type="dxa"/>
              <w:right w:w="0" w:type="dxa"/>
            </w:tcMar>
            <w:vAlign w:val="center"/>
          </w:tcPr>
          <w:p>
            <w:pPr>
              <w:widowControl/>
              <w:wordWrap w:val="0"/>
              <w:rPr>
                <w:color w:val="auto"/>
              </w:rPr>
            </w:pPr>
            <w:r>
              <w:rPr>
                <w:rFonts w:hint="eastAsia" w:ascii="宋体" w:hAnsi="宋体" w:eastAsia="宋体" w:cs="宋体"/>
                <w:color w:val="auto"/>
                <w:kern w:val="0"/>
                <w:sz w:val="24"/>
              </w:rPr>
              <w:t> </w:t>
            </w:r>
          </w:p>
        </w:tc>
      </w:tr>
      <w:tr>
        <w:tblPrEx>
          <w:tblCellMar>
            <w:top w:w="15" w:type="dxa"/>
            <w:left w:w="15" w:type="dxa"/>
            <w:bottom w:w="15" w:type="dxa"/>
            <w:right w:w="15"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both"/>
              <w:rPr>
                <w:color w:val="auto"/>
              </w:rPr>
            </w:pPr>
            <w:r>
              <w:rPr>
                <w:rFonts w:hint="eastAsia" w:ascii="宋体" w:hAnsi="宋体" w:eastAsia="宋体" w:cs="宋体"/>
                <w:color w:val="auto"/>
                <w:sz w:val="20"/>
                <w:szCs w:val="20"/>
              </w:rPr>
              <w:t>规章</w:t>
            </w:r>
          </w:p>
        </w:tc>
        <w:tc>
          <w:tcPr>
            <w:tcW w:w="17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0</w:t>
            </w:r>
          </w:p>
        </w:tc>
        <w:tc>
          <w:tcPr>
            <w:tcW w:w="142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0</w:t>
            </w:r>
          </w:p>
        </w:tc>
        <w:tc>
          <w:tcPr>
            <w:tcW w:w="1881"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0</w:t>
            </w:r>
          </w:p>
        </w:tc>
        <w:tc>
          <w:tcPr>
            <w:tcW w:w="90" w:type="dxa"/>
            <w:shd w:val="clear" w:color="auto" w:fill="F8F8F8"/>
            <w:tcMar>
              <w:top w:w="0" w:type="dxa"/>
              <w:left w:w="0" w:type="dxa"/>
              <w:bottom w:w="0" w:type="dxa"/>
              <w:right w:w="0" w:type="dxa"/>
            </w:tcMar>
            <w:vAlign w:val="center"/>
          </w:tcPr>
          <w:p>
            <w:pPr>
              <w:widowControl/>
              <w:wordWrap w:val="0"/>
              <w:rPr>
                <w:color w:val="auto"/>
              </w:rPr>
            </w:pPr>
            <w:r>
              <w:rPr>
                <w:rFonts w:hint="eastAsia" w:ascii="宋体" w:hAnsi="宋体" w:eastAsia="宋体" w:cs="宋体"/>
                <w:color w:val="auto"/>
                <w:kern w:val="0"/>
                <w:sz w:val="24"/>
              </w:rPr>
              <w:t> </w:t>
            </w:r>
          </w:p>
        </w:tc>
      </w:tr>
      <w:tr>
        <w:tblPrEx>
          <w:tblCellMar>
            <w:top w:w="15" w:type="dxa"/>
            <w:left w:w="15" w:type="dxa"/>
            <w:bottom w:w="15" w:type="dxa"/>
            <w:right w:w="15"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both"/>
              <w:rPr>
                <w:color w:val="auto"/>
              </w:rPr>
            </w:pPr>
            <w:r>
              <w:rPr>
                <w:rFonts w:hint="eastAsia" w:ascii="宋体" w:hAnsi="宋体" w:eastAsia="宋体" w:cs="宋体"/>
                <w:color w:val="auto"/>
                <w:sz w:val="20"/>
                <w:szCs w:val="20"/>
              </w:rPr>
              <w:t>行政规范性文件</w:t>
            </w:r>
          </w:p>
        </w:tc>
        <w:tc>
          <w:tcPr>
            <w:tcW w:w="17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ascii="Calibri" w:hAnsi="Calibri" w:cs="Calibri"/>
                <w:color w:val="auto"/>
                <w:sz w:val="21"/>
                <w:szCs w:val="21"/>
              </w:rPr>
              <w:t>0</w:t>
            </w:r>
          </w:p>
        </w:tc>
        <w:tc>
          <w:tcPr>
            <w:tcW w:w="142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ascii="Calibri" w:hAnsi="Calibri" w:cs="Calibri"/>
                <w:color w:val="auto"/>
                <w:sz w:val="21"/>
                <w:szCs w:val="21"/>
              </w:rPr>
              <w:t>0</w:t>
            </w:r>
          </w:p>
        </w:tc>
        <w:tc>
          <w:tcPr>
            <w:tcW w:w="1881"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ascii="Calibri" w:hAnsi="Calibri" w:cs="Calibri"/>
                <w:color w:val="auto"/>
              </w:rPr>
              <w:t>0</w:t>
            </w:r>
          </w:p>
        </w:tc>
        <w:tc>
          <w:tcPr>
            <w:tcW w:w="90" w:type="dxa"/>
            <w:shd w:val="clear" w:color="auto" w:fill="F8F8F8"/>
            <w:tcMar>
              <w:top w:w="0" w:type="dxa"/>
              <w:left w:w="0" w:type="dxa"/>
              <w:bottom w:w="0" w:type="dxa"/>
              <w:right w:w="0" w:type="dxa"/>
            </w:tcMar>
            <w:vAlign w:val="center"/>
          </w:tcPr>
          <w:p>
            <w:pPr>
              <w:widowControl/>
              <w:wordWrap w:val="0"/>
              <w:rPr>
                <w:color w:val="auto"/>
              </w:rPr>
            </w:pPr>
            <w:r>
              <w:rPr>
                <w:rFonts w:hint="eastAsia" w:ascii="宋体" w:hAnsi="宋体" w:eastAsia="宋体" w:cs="宋体"/>
                <w:color w:val="auto"/>
                <w:kern w:val="0"/>
                <w:sz w:val="24"/>
              </w:rPr>
              <w:t> </w:t>
            </w:r>
          </w:p>
        </w:tc>
      </w:tr>
      <w:tr>
        <w:tblPrEx>
          <w:tblCellMar>
            <w:top w:w="15" w:type="dxa"/>
            <w:left w:w="15" w:type="dxa"/>
            <w:bottom w:w="15" w:type="dxa"/>
            <w:right w:w="15" w:type="dxa"/>
          </w:tblCellMar>
        </w:tblPrEx>
        <w:trPr>
          <w:trHeight w:val="480" w:hRule="atLeast"/>
          <w:jc w:val="center"/>
        </w:trPr>
        <w:tc>
          <w:tcPr>
            <w:tcW w:w="8140" w:type="dxa"/>
            <w:gridSpan w:val="6"/>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第二十条第（五）项</w:t>
            </w:r>
          </w:p>
        </w:tc>
        <w:tc>
          <w:tcPr>
            <w:tcW w:w="90" w:type="dxa"/>
            <w:shd w:val="clear" w:color="auto" w:fill="F8F8F8"/>
            <w:tcMar>
              <w:top w:w="0" w:type="dxa"/>
              <w:left w:w="0" w:type="dxa"/>
              <w:bottom w:w="0" w:type="dxa"/>
              <w:right w:w="0" w:type="dxa"/>
            </w:tcMar>
            <w:vAlign w:val="center"/>
          </w:tcPr>
          <w:p>
            <w:pPr>
              <w:widowControl/>
              <w:wordWrap w:val="0"/>
              <w:rPr>
                <w:color w:val="auto"/>
              </w:rPr>
            </w:pPr>
            <w:r>
              <w:rPr>
                <w:rFonts w:hint="eastAsia" w:ascii="宋体" w:hAnsi="宋体" w:eastAsia="宋体" w:cs="宋体"/>
                <w:color w:val="auto"/>
                <w:kern w:val="0"/>
                <w:sz w:val="24"/>
              </w:rPr>
              <w:t> </w:t>
            </w:r>
          </w:p>
        </w:tc>
      </w:tr>
      <w:tr>
        <w:tblPrEx>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信息内容</w:t>
            </w:r>
          </w:p>
        </w:tc>
        <w:tc>
          <w:tcPr>
            <w:tcW w:w="5027"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1"/>
                <w:szCs w:val="21"/>
              </w:rPr>
              <w:t>本年处理决定数量</w:t>
            </w:r>
          </w:p>
        </w:tc>
        <w:tc>
          <w:tcPr>
            <w:tcW w:w="90" w:type="dxa"/>
            <w:shd w:val="clear" w:color="auto" w:fill="F8F8F8"/>
            <w:tcMar>
              <w:top w:w="0" w:type="dxa"/>
              <w:left w:w="0" w:type="dxa"/>
              <w:bottom w:w="0" w:type="dxa"/>
              <w:right w:w="0" w:type="dxa"/>
            </w:tcMar>
            <w:vAlign w:val="center"/>
          </w:tcPr>
          <w:p>
            <w:pPr>
              <w:widowControl/>
              <w:wordWrap w:val="0"/>
              <w:rPr>
                <w:color w:val="auto"/>
              </w:rPr>
            </w:pPr>
            <w:r>
              <w:rPr>
                <w:rFonts w:hint="eastAsia" w:ascii="宋体" w:hAnsi="宋体" w:eastAsia="宋体" w:cs="宋体"/>
                <w:color w:val="auto"/>
                <w:kern w:val="0"/>
                <w:sz w:val="24"/>
              </w:rPr>
              <w:t> </w:t>
            </w:r>
          </w:p>
        </w:tc>
      </w:tr>
      <w:tr>
        <w:tblPrEx>
          <w:tblCellMar>
            <w:top w:w="15" w:type="dxa"/>
            <w:left w:w="15" w:type="dxa"/>
            <w:bottom w:w="15" w:type="dxa"/>
            <w:right w:w="15"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both"/>
              <w:rPr>
                <w:color w:val="auto"/>
              </w:rPr>
            </w:pPr>
            <w:r>
              <w:rPr>
                <w:rFonts w:hint="eastAsia" w:ascii="宋体" w:hAnsi="宋体" w:eastAsia="宋体" w:cs="宋体"/>
                <w:color w:val="auto"/>
                <w:sz w:val="20"/>
                <w:szCs w:val="20"/>
              </w:rPr>
              <w:t>行政许可</w:t>
            </w:r>
          </w:p>
        </w:tc>
        <w:tc>
          <w:tcPr>
            <w:tcW w:w="5027"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Calibri" w:hAnsi="Calibri" w:eastAsia="宋体" w:cs="Calibri"/>
                <w:color w:val="auto"/>
                <w:sz w:val="21"/>
                <w:szCs w:val="21"/>
              </w:rPr>
              <w:t>712</w:t>
            </w:r>
          </w:p>
        </w:tc>
        <w:tc>
          <w:tcPr>
            <w:tcW w:w="90" w:type="dxa"/>
            <w:shd w:val="clear" w:color="auto" w:fill="F8F8F8"/>
            <w:tcMar>
              <w:top w:w="0" w:type="dxa"/>
              <w:left w:w="0" w:type="dxa"/>
              <w:bottom w:w="0" w:type="dxa"/>
              <w:right w:w="0" w:type="dxa"/>
            </w:tcMar>
            <w:vAlign w:val="center"/>
          </w:tcPr>
          <w:p>
            <w:pPr>
              <w:widowControl/>
              <w:wordWrap w:val="0"/>
              <w:rPr>
                <w:color w:val="auto"/>
              </w:rPr>
            </w:pPr>
            <w:r>
              <w:rPr>
                <w:rFonts w:hint="eastAsia" w:ascii="宋体" w:hAnsi="宋体" w:eastAsia="宋体" w:cs="宋体"/>
                <w:color w:val="auto"/>
                <w:kern w:val="0"/>
                <w:sz w:val="24"/>
              </w:rPr>
              <w:t> </w:t>
            </w:r>
          </w:p>
        </w:tc>
      </w:tr>
      <w:tr>
        <w:tblPrEx>
          <w:tblCellMar>
            <w:top w:w="15" w:type="dxa"/>
            <w:left w:w="15" w:type="dxa"/>
            <w:bottom w:w="15" w:type="dxa"/>
            <w:right w:w="15" w:type="dxa"/>
          </w:tblCellMar>
        </w:tblPrEx>
        <w:trPr>
          <w:trHeight w:val="406" w:hRule="atLeast"/>
          <w:jc w:val="center"/>
        </w:trPr>
        <w:tc>
          <w:tcPr>
            <w:tcW w:w="8140" w:type="dxa"/>
            <w:gridSpan w:val="6"/>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第二十条第（六）项</w:t>
            </w:r>
          </w:p>
        </w:tc>
        <w:tc>
          <w:tcPr>
            <w:tcW w:w="90" w:type="dxa"/>
            <w:shd w:val="clear" w:color="auto" w:fill="F8F8F8"/>
            <w:tcMar>
              <w:top w:w="0" w:type="dxa"/>
              <w:left w:w="0" w:type="dxa"/>
              <w:bottom w:w="0" w:type="dxa"/>
              <w:right w:w="0" w:type="dxa"/>
            </w:tcMar>
            <w:vAlign w:val="center"/>
          </w:tcPr>
          <w:p>
            <w:pPr>
              <w:widowControl/>
              <w:wordWrap w:val="0"/>
              <w:rPr>
                <w:color w:val="auto"/>
              </w:rPr>
            </w:pPr>
            <w:r>
              <w:rPr>
                <w:rFonts w:hint="eastAsia" w:ascii="宋体" w:hAnsi="宋体" w:eastAsia="宋体" w:cs="宋体"/>
                <w:color w:val="auto"/>
                <w:kern w:val="0"/>
                <w:sz w:val="24"/>
              </w:rPr>
              <w:t> </w:t>
            </w:r>
          </w:p>
        </w:tc>
      </w:tr>
      <w:tr>
        <w:tblPrEx>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信息内容</w:t>
            </w:r>
          </w:p>
        </w:tc>
        <w:tc>
          <w:tcPr>
            <w:tcW w:w="5027"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1"/>
                <w:szCs w:val="21"/>
              </w:rPr>
              <w:t>本年处理决定数量</w:t>
            </w:r>
          </w:p>
        </w:tc>
        <w:tc>
          <w:tcPr>
            <w:tcW w:w="90" w:type="dxa"/>
            <w:shd w:val="clear" w:color="auto" w:fill="F8F8F8"/>
            <w:tcMar>
              <w:top w:w="0" w:type="dxa"/>
              <w:left w:w="0" w:type="dxa"/>
              <w:bottom w:w="0" w:type="dxa"/>
              <w:right w:w="0" w:type="dxa"/>
            </w:tcMar>
            <w:vAlign w:val="center"/>
          </w:tcPr>
          <w:p>
            <w:pPr>
              <w:widowControl/>
              <w:wordWrap w:val="0"/>
              <w:rPr>
                <w:color w:val="auto"/>
              </w:rPr>
            </w:pPr>
            <w:r>
              <w:rPr>
                <w:rFonts w:hint="eastAsia" w:ascii="宋体" w:hAnsi="宋体" w:eastAsia="宋体" w:cs="宋体"/>
                <w:color w:val="auto"/>
                <w:kern w:val="0"/>
                <w:sz w:val="24"/>
              </w:rPr>
              <w:t> </w:t>
            </w:r>
          </w:p>
        </w:tc>
      </w:tr>
      <w:tr>
        <w:tblPrEx>
          <w:tblCellMar>
            <w:top w:w="15" w:type="dxa"/>
            <w:left w:w="15" w:type="dxa"/>
            <w:bottom w:w="15" w:type="dxa"/>
            <w:right w:w="15"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both"/>
              <w:rPr>
                <w:color w:val="auto"/>
              </w:rPr>
            </w:pPr>
            <w:r>
              <w:rPr>
                <w:rFonts w:hint="eastAsia" w:ascii="宋体" w:hAnsi="宋体" w:eastAsia="宋体" w:cs="宋体"/>
                <w:color w:val="auto"/>
                <w:sz w:val="20"/>
                <w:szCs w:val="20"/>
              </w:rPr>
              <w:t>行政处罚</w:t>
            </w:r>
          </w:p>
        </w:tc>
        <w:tc>
          <w:tcPr>
            <w:tcW w:w="5027"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Calibri" w:hAnsi="Calibri" w:eastAsia="宋体" w:cs="Calibri"/>
                <w:color w:val="auto"/>
                <w:sz w:val="21"/>
                <w:szCs w:val="21"/>
              </w:rPr>
              <w:t>1623</w:t>
            </w:r>
          </w:p>
        </w:tc>
        <w:tc>
          <w:tcPr>
            <w:tcW w:w="90" w:type="dxa"/>
            <w:shd w:val="clear" w:color="auto" w:fill="F8F8F8"/>
            <w:tcMar>
              <w:top w:w="0" w:type="dxa"/>
              <w:left w:w="0" w:type="dxa"/>
              <w:bottom w:w="0" w:type="dxa"/>
              <w:right w:w="0" w:type="dxa"/>
            </w:tcMar>
            <w:vAlign w:val="center"/>
          </w:tcPr>
          <w:p>
            <w:pPr>
              <w:widowControl/>
              <w:wordWrap w:val="0"/>
              <w:rPr>
                <w:color w:val="auto"/>
              </w:rPr>
            </w:pPr>
            <w:r>
              <w:rPr>
                <w:rFonts w:hint="eastAsia" w:ascii="宋体" w:hAnsi="宋体" w:eastAsia="宋体" w:cs="宋体"/>
                <w:color w:val="auto"/>
                <w:kern w:val="0"/>
                <w:sz w:val="24"/>
              </w:rPr>
              <w:t> </w:t>
            </w:r>
          </w:p>
        </w:tc>
      </w:tr>
      <w:tr>
        <w:tblPrEx>
          <w:tblCellMar>
            <w:top w:w="15" w:type="dxa"/>
            <w:left w:w="15" w:type="dxa"/>
            <w:bottom w:w="15" w:type="dxa"/>
            <w:right w:w="15"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both"/>
              <w:rPr>
                <w:color w:val="auto"/>
              </w:rPr>
            </w:pPr>
            <w:r>
              <w:rPr>
                <w:rFonts w:hint="eastAsia" w:ascii="宋体" w:hAnsi="宋体" w:eastAsia="宋体" w:cs="宋体"/>
                <w:color w:val="auto"/>
                <w:sz w:val="20"/>
                <w:szCs w:val="20"/>
              </w:rPr>
              <w:t>行政强制</w:t>
            </w:r>
          </w:p>
        </w:tc>
        <w:tc>
          <w:tcPr>
            <w:tcW w:w="5027"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color w:val="auto"/>
              </w:rPr>
              <w:t>2791</w:t>
            </w:r>
          </w:p>
        </w:tc>
        <w:tc>
          <w:tcPr>
            <w:tcW w:w="90" w:type="dxa"/>
            <w:shd w:val="clear" w:color="auto" w:fill="F8F8F8"/>
            <w:tcMar>
              <w:top w:w="0" w:type="dxa"/>
              <w:left w:w="0" w:type="dxa"/>
              <w:bottom w:w="0" w:type="dxa"/>
              <w:right w:w="0" w:type="dxa"/>
            </w:tcMar>
            <w:vAlign w:val="center"/>
          </w:tcPr>
          <w:p>
            <w:pPr>
              <w:widowControl/>
              <w:wordWrap w:val="0"/>
              <w:rPr>
                <w:color w:val="auto"/>
              </w:rPr>
            </w:pPr>
            <w:r>
              <w:rPr>
                <w:rFonts w:hint="eastAsia" w:ascii="宋体" w:hAnsi="宋体" w:eastAsia="宋体" w:cs="宋体"/>
                <w:color w:val="auto"/>
                <w:kern w:val="0"/>
                <w:sz w:val="24"/>
              </w:rPr>
              <w:t> </w:t>
            </w:r>
          </w:p>
        </w:tc>
      </w:tr>
      <w:tr>
        <w:tblPrEx>
          <w:tblCellMar>
            <w:top w:w="15" w:type="dxa"/>
            <w:left w:w="15" w:type="dxa"/>
            <w:bottom w:w="15" w:type="dxa"/>
            <w:right w:w="15" w:type="dxa"/>
          </w:tblCellMar>
        </w:tblPrEx>
        <w:trPr>
          <w:trHeight w:val="474" w:hRule="atLeast"/>
          <w:jc w:val="center"/>
        </w:trPr>
        <w:tc>
          <w:tcPr>
            <w:tcW w:w="8140" w:type="dxa"/>
            <w:gridSpan w:val="6"/>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第二十条第（八）项</w:t>
            </w:r>
          </w:p>
        </w:tc>
        <w:tc>
          <w:tcPr>
            <w:tcW w:w="90" w:type="dxa"/>
            <w:shd w:val="clear" w:color="auto" w:fill="F8F8F8"/>
            <w:tcMar>
              <w:top w:w="0" w:type="dxa"/>
              <w:left w:w="0" w:type="dxa"/>
              <w:bottom w:w="0" w:type="dxa"/>
              <w:right w:w="0" w:type="dxa"/>
            </w:tcMar>
            <w:vAlign w:val="center"/>
          </w:tcPr>
          <w:p>
            <w:pPr>
              <w:widowControl/>
              <w:wordWrap w:val="0"/>
              <w:rPr>
                <w:color w:val="auto"/>
              </w:rPr>
            </w:pPr>
            <w:r>
              <w:rPr>
                <w:rFonts w:hint="eastAsia" w:ascii="宋体" w:hAnsi="宋体" w:eastAsia="宋体" w:cs="宋体"/>
                <w:color w:val="auto"/>
                <w:kern w:val="0"/>
                <w:sz w:val="24"/>
              </w:rPr>
              <w:t> </w:t>
            </w:r>
          </w:p>
        </w:tc>
      </w:tr>
      <w:tr>
        <w:tblPrEx>
          <w:tblCellMar>
            <w:top w:w="15" w:type="dxa"/>
            <w:left w:w="15" w:type="dxa"/>
            <w:bottom w:w="15" w:type="dxa"/>
            <w:right w:w="15"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信息内容</w:t>
            </w:r>
          </w:p>
        </w:tc>
        <w:tc>
          <w:tcPr>
            <w:tcW w:w="5027"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1"/>
                <w:szCs w:val="21"/>
              </w:rPr>
              <w:t>本年收费金额（单位：万元）</w:t>
            </w:r>
          </w:p>
        </w:tc>
        <w:tc>
          <w:tcPr>
            <w:tcW w:w="90" w:type="dxa"/>
            <w:shd w:val="clear" w:color="auto" w:fill="F8F8F8"/>
            <w:tcMar>
              <w:top w:w="0" w:type="dxa"/>
              <w:left w:w="0" w:type="dxa"/>
              <w:bottom w:w="0" w:type="dxa"/>
              <w:right w:w="0" w:type="dxa"/>
            </w:tcMar>
            <w:vAlign w:val="center"/>
          </w:tcPr>
          <w:p>
            <w:pPr>
              <w:widowControl/>
              <w:wordWrap w:val="0"/>
              <w:rPr>
                <w:color w:val="auto"/>
              </w:rPr>
            </w:pPr>
            <w:r>
              <w:rPr>
                <w:rFonts w:hint="eastAsia" w:ascii="宋体" w:hAnsi="宋体" w:eastAsia="宋体" w:cs="宋体"/>
                <w:color w:val="auto"/>
                <w:kern w:val="0"/>
                <w:sz w:val="24"/>
              </w:rPr>
              <w:t> </w:t>
            </w:r>
          </w:p>
        </w:tc>
      </w:tr>
      <w:tr>
        <w:tblPrEx>
          <w:tblCellMar>
            <w:top w:w="15" w:type="dxa"/>
            <w:left w:w="15" w:type="dxa"/>
            <w:bottom w:w="15" w:type="dxa"/>
            <w:right w:w="15"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both"/>
              <w:rPr>
                <w:color w:val="auto"/>
              </w:rPr>
            </w:pPr>
            <w:r>
              <w:rPr>
                <w:rFonts w:hint="eastAsia" w:ascii="宋体" w:hAnsi="宋体" w:eastAsia="宋体" w:cs="宋体"/>
                <w:color w:val="auto"/>
                <w:sz w:val="20"/>
                <w:szCs w:val="20"/>
              </w:rPr>
              <w:t>行政事业性收费</w:t>
            </w:r>
          </w:p>
        </w:tc>
        <w:tc>
          <w:tcPr>
            <w:tcW w:w="5027"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color w:val="auto"/>
              </w:rPr>
              <w:t>30.12</w:t>
            </w:r>
          </w:p>
        </w:tc>
        <w:tc>
          <w:tcPr>
            <w:tcW w:w="90" w:type="dxa"/>
            <w:shd w:val="clear" w:color="auto" w:fill="F8F8F8"/>
            <w:tcMar>
              <w:top w:w="0" w:type="dxa"/>
              <w:left w:w="0" w:type="dxa"/>
              <w:bottom w:w="0" w:type="dxa"/>
              <w:right w:w="0" w:type="dxa"/>
            </w:tcMar>
            <w:vAlign w:val="center"/>
          </w:tcPr>
          <w:p>
            <w:pPr>
              <w:widowControl/>
              <w:wordWrap w:val="0"/>
              <w:rPr>
                <w:color w:val="auto"/>
              </w:rPr>
            </w:pPr>
            <w:r>
              <w:rPr>
                <w:rFonts w:hint="eastAsia" w:ascii="宋体" w:hAnsi="宋体" w:eastAsia="宋体" w:cs="宋体"/>
                <w:color w:val="auto"/>
                <w:kern w:val="0"/>
                <w:sz w:val="24"/>
              </w:rPr>
              <w:t> </w:t>
            </w:r>
          </w:p>
        </w:tc>
      </w:tr>
      <w:tr>
        <w:tblPrEx>
          <w:tblCellMar>
            <w:top w:w="15" w:type="dxa"/>
            <w:left w:w="15" w:type="dxa"/>
            <w:bottom w:w="15" w:type="dxa"/>
            <w:right w:w="15" w:type="dxa"/>
          </w:tblCellMar>
        </w:tblPrEx>
        <w:trPr>
          <w:jc w:val="center"/>
        </w:trPr>
        <w:tc>
          <w:tcPr>
            <w:tcW w:w="3113" w:type="dxa"/>
            <w:shd w:val="clear" w:color="auto" w:fill="FFFFFF"/>
            <w:tcMar>
              <w:top w:w="0" w:type="dxa"/>
              <w:left w:w="0" w:type="dxa"/>
              <w:bottom w:w="0" w:type="dxa"/>
              <w:right w:w="0" w:type="dxa"/>
            </w:tcMar>
            <w:vAlign w:val="center"/>
          </w:tcPr>
          <w:p>
            <w:pPr>
              <w:widowControl/>
              <w:wordWrap w:val="0"/>
              <w:rPr>
                <w:color w:val="auto"/>
              </w:rPr>
            </w:pPr>
            <w:r>
              <w:rPr>
                <w:rFonts w:hint="eastAsia" w:ascii="宋体" w:hAnsi="宋体" w:eastAsia="宋体" w:cs="宋体"/>
                <w:color w:val="auto"/>
                <w:kern w:val="0"/>
                <w:sz w:val="24"/>
              </w:rPr>
              <w:t> </w:t>
            </w:r>
          </w:p>
        </w:tc>
        <w:tc>
          <w:tcPr>
            <w:tcW w:w="1719" w:type="dxa"/>
            <w:shd w:val="clear" w:color="auto" w:fill="FFFFFF"/>
            <w:tcMar>
              <w:top w:w="0" w:type="dxa"/>
              <w:left w:w="0" w:type="dxa"/>
              <w:bottom w:w="0" w:type="dxa"/>
              <w:right w:w="0" w:type="dxa"/>
            </w:tcMar>
            <w:vAlign w:val="center"/>
          </w:tcPr>
          <w:p>
            <w:pPr>
              <w:widowControl/>
              <w:wordWrap w:val="0"/>
              <w:rPr>
                <w:color w:val="auto"/>
              </w:rPr>
            </w:pPr>
            <w:r>
              <w:rPr>
                <w:rFonts w:hint="eastAsia" w:ascii="宋体" w:hAnsi="宋体" w:eastAsia="宋体" w:cs="宋体"/>
                <w:color w:val="auto"/>
                <w:kern w:val="0"/>
                <w:sz w:val="24"/>
              </w:rPr>
              <w:t> </w:t>
            </w:r>
          </w:p>
        </w:tc>
        <w:tc>
          <w:tcPr>
            <w:tcW w:w="246" w:type="dxa"/>
            <w:shd w:val="clear" w:color="auto" w:fill="FFFFFF"/>
            <w:tcMar>
              <w:top w:w="0" w:type="dxa"/>
              <w:left w:w="0" w:type="dxa"/>
              <w:bottom w:w="0" w:type="dxa"/>
              <w:right w:w="0" w:type="dxa"/>
            </w:tcMar>
            <w:vAlign w:val="center"/>
          </w:tcPr>
          <w:p>
            <w:pPr>
              <w:widowControl/>
              <w:wordWrap w:val="0"/>
              <w:rPr>
                <w:color w:val="auto"/>
              </w:rPr>
            </w:pPr>
            <w:r>
              <w:rPr>
                <w:rFonts w:hint="eastAsia" w:ascii="宋体" w:hAnsi="宋体" w:eastAsia="宋体" w:cs="宋体"/>
                <w:color w:val="auto"/>
                <w:kern w:val="0"/>
                <w:sz w:val="24"/>
              </w:rPr>
              <w:t> </w:t>
            </w:r>
          </w:p>
        </w:tc>
        <w:tc>
          <w:tcPr>
            <w:tcW w:w="1277" w:type="dxa"/>
            <w:gridSpan w:val="2"/>
            <w:shd w:val="clear" w:color="auto" w:fill="FFFFFF"/>
            <w:tcMar>
              <w:top w:w="0" w:type="dxa"/>
              <w:left w:w="0" w:type="dxa"/>
              <w:bottom w:w="0" w:type="dxa"/>
              <w:right w:w="0" w:type="dxa"/>
            </w:tcMar>
            <w:vAlign w:val="center"/>
          </w:tcPr>
          <w:p>
            <w:pPr>
              <w:widowControl/>
              <w:wordWrap w:val="0"/>
              <w:rPr>
                <w:color w:val="auto"/>
              </w:rPr>
            </w:pPr>
            <w:r>
              <w:rPr>
                <w:rFonts w:hint="eastAsia" w:ascii="宋体" w:hAnsi="宋体" w:eastAsia="宋体" w:cs="宋体"/>
                <w:color w:val="auto"/>
                <w:kern w:val="0"/>
                <w:sz w:val="24"/>
              </w:rPr>
              <w:t> </w:t>
            </w:r>
          </w:p>
        </w:tc>
        <w:tc>
          <w:tcPr>
            <w:tcW w:w="1881" w:type="dxa"/>
            <w:gridSpan w:val="2"/>
            <w:shd w:val="clear" w:color="auto" w:fill="FFFFFF"/>
            <w:tcMar>
              <w:top w:w="0" w:type="dxa"/>
              <w:left w:w="0" w:type="dxa"/>
              <w:bottom w:w="0" w:type="dxa"/>
              <w:right w:w="0" w:type="dxa"/>
            </w:tcMar>
            <w:vAlign w:val="center"/>
          </w:tcPr>
          <w:p>
            <w:pPr>
              <w:widowControl/>
              <w:wordWrap w:val="0"/>
              <w:jc w:val="left"/>
              <w:rPr>
                <w:color w:val="auto"/>
              </w:rPr>
            </w:pPr>
            <w:r>
              <w:rPr>
                <w:rFonts w:hint="eastAsia" w:ascii="宋体" w:hAnsi="宋体" w:eastAsia="宋体" w:cs="宋体"/>
                <w:color w:val="auto"/>
                <w:kern w:val="0"/>
                <w:sz w:val="24"/>
              </w:rPr>
              <w:t> </w:t>
            </w:r>
          </w:p>
        </w:tc>
      </w:tr>
    </w:tbl>
    <w:p>
      <w:pPr>
        <w:pStyle w:val="6"/>
        <w:widowControl/>
        <w:shd w:val="clear" w:color="auto" w:fill="FFFFFF"/>
        <w:spacing w:beforeAutospacing="0" w:afterAutospacing="0" w:line="560" w:lineRule="atLeast"/>
        <w:ind w:firstLine="643"/>
        <w:jc w:val="both"/>
        <w:rPr>
          <w:rFonts w:ascii="黑体" w:hAnsi="黑体" w:eastAsia="黑体" w:cs="宋体"/>
          <w:color w:val="auto"/>
        </w:rPr>
      </w:pPr>
      <w:r>
        <w:rPr>
          <w:rFonts w:hint="eastAsia" w:ascii="黑体" w:hAnsi="黑体" w:eastAsia="黑体" w:cs="仿宋"/>
          <w:bCs/>
          <w:color w:val="auto"/>
          <w:sz w:val="32"/>
          <w:szCs w:val="32"/>
          <w:shd w:val="clear" w:color="auto" w:fill="FFFFFF"/>
        </w:rPr>
        <w:t>三、收到和处理政府信息公开申请情况</w:t>
      </w:r>
    </w:p>
    <w:tbl>
      <w:tblPr>
        <w:tblStyle w:val="8"/>
        <w:tblW w:w="0" w:type="auto"/>
        <w:jc w:val="center"/>
        <w:tblLayout w:type="autofit"/>
        <w:tblCellMar>
          <w:top w:w="15" w:type="dxa"/>
          <w:left w:w="15" w:type="dxa"/>
          <w:bottom w:w="15" w:type="dxa"/>
          <w:right w:w="15" w:type="dxa"/>
        </w:tblCellMar>
      </w:tblPr>
      <w:tblGrid>
        <w:gridCol w:w="616"/>
        <w:gridCol w:w="816"/>
        <w:gridCol w:w="2041"/>
        <w:gridCol w:w="558"/>
        <w:gridCol w:w="724"/>
        <w:gridCol w:w="724"/>
        <w:gridCol w:w="772"/>
        <w:gridCol w:w="901"/>
        <w:gridCol w:w="690"/>
        <w:gridCol w:w="680"/>
      </w:tblGrid>
      <w:tr>
        <w:tblPrEx>
          <w:tblCellMar>
            <w:top w:w="15" w:type="dxa"/>
            <w:left w:w="15" w:type="dxa"/>
            <w:bottom w:w="15" w:type="dxa"/>
            <w:right w:w="15" w:type="dxa"/>
          </w:tblCellMar>
        </w:tblPrEx>
        <w:trPr>
          <w:jc w:val="center"/>
        </w:trPr>
        <w:tc>
          <w:tcPr>
            <w:tcW w:w="3473"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（本列数据的勾稽关系为：第一项加第二项之和，等于第三项加第四项之和）</w:t>
            </w:r>
          </w:p>
        </w:tc>
        <w:tc>
          <w:tcPr>
            <w:tcW w:w="5049"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申请人情况</w:t>
            </w:r>
          </w:p>
        </w:tc>
      </w:tr>
      <w:tr>
        <w:tblPrEx>
          <w:tblCellMar>
            <w:top w:w="15" w:type="dxa"/>
            <w:left w:w="15" w:type="dxa"/>
            <w:bottom w:w="15" w:type="dxa"/>
            <w:right w:w="15" w:type="dxa"/>
          </w:tblCellMar>
        </w:tblPrEx>
        <w:trPr>
          <w:jc w:val="center"/>
        </w:trPr>
        <w:tc>
          <w:tcPr>
            <w:tcW w:w="3473"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55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自然人</w:t>
            </w:r>
          </w:p>
        </w:tc>
        <w:tc>
          <w:tcPr>
            <w:tcW w:w="3811"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法人或其他组织</w:t>
            </w:r>
          </w:p>
        </w:tc>
        <w:tc>
          <w:tcPr>
            <w:tcW w:w="68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总计</w:t>
            </w:r>
          </w:p>
        </w:tc>
      </w:tr>
      <w:tr>
        <w:tblPrEx>
          <w:tblCellMar>
            <w:top w:w="15" w:type="dxa"/>
            <w:left w:w="15" w:type="dxa"/>
            <w:bottom w:w="15" w:type="dxa"/>
            <w:right w:w="15" w:type="dxa"/>
          </w:tblCellMar>
        </w:tblPrEx>
        <w:trPr>
          <w:jc w:val="center"/>
        </w:trPr>
        <w:tc>
          <w:tcPr>
            <w:tcW w:w="3473"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55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商业企业</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科研机构</w:t>
            </w:r>
          </w:p>
        </w:tc>
        <w:tc>
          <w:tcPr>
            <w:tcW w:w="7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社会公益组织</w:t>
            </w:r>
          </w:p>
        </w:tc>
        <w:tc>
          <w:tcPr>
            <w:tcW w:w="9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法律服务机构</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其他</w:t>
            </w:r>
          </w:p>
        </w:tc>
        <w:tc>
          <w:tcPr>
            <w:tcW w:w="68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r>
      <w:tr>
        <w:tblPrEx>
          <w:tblCellMar>
            <w:top w:w="15" w:type="dxa"/>
            <w:left w:w="15" w:type="dxa"/>
            <w:bottom w:w="15" w:type="dxa"/>
            <w:right w:w="15" w:type="dxa"/>
          </w:tblCellMar>
        </w:tblPrEx>
        <w:trPr>
          <w:jc w:val="center"/>
        </w:trPr>
        <w:tc>
          <w:tcPr>
            <w:tcW w:w="3473"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rPr>
                <w:color w:val="auto"/>
              </w:rPr>
            </w:pPr>
            <w:r>
              <w:rPr>
                <w:rFonts w:hint="eastAsia" w:ascii="宋体" w:hAnsi="宋体" w:eastAsia="宋体" w:cs="宋体"/>
                <w:color w:val="auto"/>
                <w:sz w:val="20"/>
                <w:szCs w:val="20"/>
              </w:rPr>
              <w:t>一、本年新收政府信息公开申请数量</w:t>
            </w:r>
          </w:p>
        </w:tc>
        <w:tc>
          <w:tcPr>
            <w:tcW w:w="5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hint="eastAsia"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9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hint="eastAsia" w:ascii="仿宋_GB2312" w:eastAsia="仿宋_GB2312" w:cs="仿宋_GB2312"/>
                <w:color w:val="auto"/>
                <w:sz w:val="21"/>
                <w:szCs w:val="21"/>
              </w:rPr>
              <w:t>0</w:t>
            </w:r>
          </w:p>
        </w:tc>
      </w:tr>
      <w:tr>
        <w:tblPrEx>
          <w:tblCellMar>
            <w:top w:w="15" w:type="dxa"/>
            <w:left w:w="15" w:type="dxa"/>
            <w:bottom w:w="15" w:type="dxa"/>
            <w:right w:w="15" w:type="dxa"/>
          </w:tblCellMar>
        </w:tblPrEx>
        <w:trPr>
          <w:jc w:val="center"/>
        </w:trPr>
        <w:tc>
          <w:tcPr>
            <w:tcW w:w="3473"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rPr>
                <w:color w:val="auto"/>
              </w:rPr>
            </w:pPr>
            <w:r>
              <w:rPr>
                <w:rFonts w:hint="eastAsia" w:ascii="宋体" w:hAnsi="宋体" w:eastAsia="宋体" w:cs="宋体"/>
                <w:color w:val="auto"/>
                <w:sz w:val="20"/>
                <w:szCs w:val="20"/>
              </w:rPr>
              <w:t>二、上年结转政府信息公开申请数量</w:t>
            </w:r>
          </w:p>
        </w:tc>
        <w:tc>
          <w:tcPr>
            <w:tcW w:w="5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9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r>
      <w:tr>
        <w:tblPrEx>
          <w:tblCellMar>
            <w:top w:w="15" w:type="dxa"/>
            <w:left w:w="15" w:type="dxa"/>
            <w:bottom w:w="15" w:type="dxa"/>
            <w:right w:w="15" w:type="dxa"/>
          </w:tblCellMar>
        </w:tblPrEx>
        <w:trPr>
          <w:jc w:val="center"/>
        </w:trPr>
        <w:tc>
          <w:tcPr>
            <w:tcW w:w="616"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三、本年度办理结果</w:t>
            </w:r>
          </w:p>
        </w:tc>
        <w:tc>
          <w:tcPr>
            <w:tcW w:w="285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rPr>
                <w:color w:val="auto"/>
              </w:rPr>
            </w:pPr>
            <w:r>
              <w:rPr>
                <w:rFonts w:ascii="楷体" w:hAnsi="楷体" w:eastAsia="楷体" w:cs="楷体"/>
                <w:color w:val="auto"/>
                <w:sz w:val="20"/>
                <w:szCs w:val="20"/>
              </w:rPr>
              <w:t>（一）予以公开</w:t>
            </w:r>
          </w:p>
        </w:tc>
        <w:tc>
          <w:tcPr>
            <w:tcW w:w="5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9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r>
      <w:tr>
        <w:tblPrEx>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285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rPr>
                <w:color w:val="auto"/>
              </w:rPr>
            </w:pPr>
            <w:r>
              <w:rPr>
                <w:rFonts w:hint="eastAsia" w:ascii="楷体" w:hAnsi="楷体" w:eastAsia="楷体" w:cs="楷体"/>
                <w:color w:val="auto"/>
                <w:sz w:val="20"/>
                <w:szCs w:val="20"/>
              </w:rPr>
              <w:t>（二）部分公开（区分处理的，只计这一情形，不计其他情形）</w:t>
            </w:r>
          </w:p>
        </w:tc>
        <w:tc>
          <w:tcPr>
            <w:tcW w:w="5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9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r>
      <w:tr>
        <w:tblPrEx>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81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rPr>
                <w:color w:val="auto"/>
              </w:rPr>
            </w:pPr>
            <w:r>
              <w:rPr>
                <w:rFonts w:hint="eastAsia" w:ascii="楷体" w:hAnsi="楷体" w:eastAsia="楷体" w:cs="楷体"/>
                <w:color w:val="auto"/>
                <w:sz w:val="20"/>
                <w:szCs w:val="20"/>
              </w:rPr>
              <w:t>（三）不予公开</w:t>
            </w:r>
          </w:p>
        </w:tc>
        <w:tc>
          <w:tcPr>
            <w:tcW w:w="20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rPr>
                <w:color w:val="auto"/>
              </w:rPr>
            </w:pPr>
            <w:r>
              <w:rPr>
                <w:rFonts w:hint="eastAsia" w:ascii="楷体" w:hAnsi="楷体" w:eastAsia="楷体" w:cs="楷体"/>
                <w:color w:val="auto"/>
                <w:sz w:val="20"/>
                <w:szCs w:val="20"/>
              </w:rPr>
              <w:t>1.属于国家秘密</w:t>
            </w:r>
          </w:p>
        </w:tc>
        <w:tc>
          <w:tcPr>
            <w:tcW w:w="5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9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r>
      <w:tr>
        <w:tblPrEx>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81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20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rPr>
                <w:color w:val="auto"/>
              </w:rPr>
            </w:pPr>
            <w:r>
              <w:rPr>
                <w:rFonts w:hint="eastAsia" w:ascii="楷体" w:hAnsi="楷体" w:eastAsia="楷体" w:cs="楷体"/>
                <w:color w:val="auto"/>
                <w:sz w:val="20"/>
                <w:szCs w:val="20"/>
              </w:rPr>
              <w:t>2.其他法律行政法规禁止公开</w:t>
            </w:r>
          </w:p>
        </w:tc>
        <w:tc>
          <w:tcPr>
            <w:tcW w:w="5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9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r>
      <w:tr>
        <w:tblPrEx>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81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20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rPr>
                <w:color w:val="auto"/>
              </w:rPr>
            </w:pPr>
            <w:r>
              <w:rPr>
                <w:rFonts w:hint="eastAsia" w:ascii="楷体" w:hAnsi="楷体" w:eastAsia="楷体" w:cs="楷体"/>
                <w:color w:val="auto"/>
                <w:sz w:val="20"/>
                <w:szCs w:val="20"/>
              </w:rPr>
              <w:t>3.危及“三安全一稳定”</w:t>
            </w:r>
          </w:p>
        </w:tc>
        <w:tc>
          <w:tcPr>
            <w:tcW w:w="5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9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r>
      <w:tr>
        <w:tblPrEx>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81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20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rPr>
                <w:color w:val="auto"/>
              </w:rPr>
            </w:pPr>
            <w:r>
              <w:rPr>
                <w:rFonts w:hint="eastAsia" w:ascii="楷体" w:hAnsi="楷体" w:eastAsia="楷体" w:cs="楷体"/>
                <w:color w:val="auto"/>
                <w:sz w:val="20"/>
                <w:szCs w:val="20"/>
              </w:rPr>
              <w:t>4.保护第三方合法权益</w:t>
            </w:r>
          </w:p>
        </w:tc>
        <w:tc>
          <w:tcPr>
            <w:tcW w:w="5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9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r>
      <w:tr>
        <w:tblPrEx>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81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20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rPr>
                <w:color w:val="auto"/>
              </w:rPr>
            </w:pPr>
            <w:r>
              <w:rPr>
                <w:rFonts w:hint="eastAsia" w:ascii="楷体" w:hAnsi="楷体" w:eastAsia="楷体" w:cs="楷体"/>
                <w:color w:val="auto"/>
                <w:sz w:val="20"/>
                <w:szCs w:val="20"/>
              </w:rPr>
              <w:t>5.属于三类内部事务信息</w:t>
            </w:r>
          </w:p>
        </w:tc>
        <w:tc>
          <w:tcPr>
            <w:tcW w:w="5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9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r>
      <w:tr>
        <w:tblPrEx>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81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20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rPr>
                <w:color w:val="auto"/>
              </w:rPr>
            </w:pPr>
            <w:r>
              <w:rPr>
                <w:rFonts w:hint="eastAsia" w:ascii="楷体" w:hAnsi="楷体" w:eastAsia="楷体" w:cs="楷体"/>
                <w:color w:val="auto"/>
                <w:sz w:val="20"/>
                <w:szCs w:val="20"/>
              </w:rPr>
              <w:t>6.属于四类过程性信息</w:t>
            </w:r>
          </w:p>
        </w:tc>
        <w:tc>
          <w:tcPr>
            <w:tcW w:w="5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9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r>
      <w:tr>
        <w:tblPrEx>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81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20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rPr>
                <w:color w:val="auto"/>
              </w:rPr>
            </w:pPr>
            <w:r>
              <w:rPr>
                <w:rFonts w:hint="eastAsia" w:ascii="楷体" w:hAnsi="楷体" w:eastAsia="楷体" w:cs="楷体"/>
                <w:color w:val="auto"/>
                <w:sz w:val="20"/>
                <w:szCs w:val="20"/>
              </w:rPr>
              <w:t>7.属于行政执法案卷</w:t>
            </w:r>
          </w:p>
        </w:tc>
        <w:tc>
          <w:tcPr>
            <w:tcW w:w="5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9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r>
      <w:tr>
        <w:tblPrEx>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81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20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rPr>
                <w:color w:val="auto"/>
              </w:rPr>
            </w:pPr>
            <w:r>
              <w:rPr>
                <w:rFonts w:hint="eastAsia" w:ascii="楷体" w:hAnsi="楷体" w:eastAsia="楷体" w:cs="楷体"/>
                <w:color w:val="auto"/>
                <w:sz w:val="20"/>
                <w:szCs w:val="20"/>
              </w:rPr>
              <w:t>8.属于行政查询事项</w:t>
            </w:r>
          </w:p>
        </w:tc>
        <w:tc>
          <w:tcPr>
            <w:tcW w:w="5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9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r>
      <w:tr>
        <w:tblPrEx>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81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rPr>
                <w:color w:val="auto"/>
              </w:rPr>
            </w:pPr>
            <w:r>
              <w:rPr>
                <w:rFonts w:hint="eastAsia" w:ascii="楷体" w:hAnsi="楷体" w:eastAsia="楷体" w:cs="楷体"/>
                <w:color w:val="auto"/>
                <w:sz w:val="20"/>
                <w:szCs w:val="20"/>
              </w:rPr>
              <w:t>（四）无法提供</w:t>
            </w:r>
          </w:p>
        </w:tc>
        <w:tc>
          <w:tcPr>
            <w:tcW w:w="20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rPr>
                <w:color w:val="auto"/>
              </w:rPr>
            </w:pPr>
            <w:r>
              <w:rPr>
                <w:rFonts w:hint="eastAsia" w:ascii="楷体" w:hAnsi="楷体" w:eastAsia="楷体" w:cs="楷体"/>
                <w:color w:val="auto"/>
                <w:sz w:val="20"/>
                <w:szCs w:val="20"/>
              </w:rPr>
              <w:t>1.本机关不掌握相关政府信息</w:t>
            </w:r>
          </w:p>
        </w:tc>
        <w:tc>
          <w:tcPr>
            <w:tcW w:w="5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hint="eastAsia"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9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hint="eastAsia" w:ascii="仿宋_GB2312" w:eastAsia="仿宋_GB2312" w:cs="仿宋_GB2312"/>
                <w:color w:val="auto"/>
                <w:sz w:val="21"/>
                <w:szCs w:val="21"/>
              </w:rPr>
              <w:t>0</w:t>
            </w:r>
          </w:p>
        </w:tc>
      </w:tr>
      <w:tr>
        <w:tblPrEx>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81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20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rPr>
                <w:color w:val="auto"/>
              </w:rPr>
            </w:pPr>
            <w:r>
              <w:rPr>
                <w:rFonts w:hint="eastAsia" w:ascii="楷体" w:hAnsi="楷体" w:eastAsia="楷体" w:cs="楷体"/>
                <w:color w:val="auto"/>
                <w:sz w:val="20"/>
                <w:szCs w:val="20"/>
              </w:rPr>
              <w:t>2.没有现成信息需要另行制作</w:t>
            </w:r>
          </w:p>
        </w:tc>
        <w:tc>
          <w:tcPr>
            <w:tcW w:w="5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9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r>
      <w:tr>
        <w:tblPrEx>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81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20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rPr>
                <w:color w:val="auto"/>
              </w:rPr>
            </w:pPr>
            <w:r>
              <w:rPr>
                <w:rFonts w:hint="eastAsia" w:ascii="楷体" w:hAnsi="楷体" w:eastAsia="楷体" w:cs="楷体"/>
                <w:color w:val="auto"/>
                <w:sz w:val="20"/>
                <w:szCs w:val="20"/>
              </w:rPr>
              <w:t>3.补正后申请内容仍不明确</w:t>
            </w:r>
          </w:p>
        </w:tc>
        <w:tc>
          <w:tcPr>
            <w:tcW w:w="5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9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r>
      <w:tr>
        <w:tblPrEx>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81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rPr>
                <w:color w:val="auto"/>
              </w:rPr>
            </w:pPr>
            <w:r>
              <w:rPr>
                <w:rFonts w:hint="eastAsia" w:ascii="楷体" w:hAnsi="楷体" w:eastAsia="楷体" w:cs="楷体"/>
                <w:color w:val="auto"/>
                <w:sz w:val="20"/>
                <w:szCs w:val="20"/>
              </w:rPr>
              <w:t>（五）不予处理</w:t>
            </w:r>
          </w:p>
        </w:tc>
        <w:tc>
          <w:tcPr>
            <w:tcW w:w="20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rPr>
                <w:color w:val="auto"/>
              </w:rPr>
            </w:pPr>
            <w:r>
              <w:rPr>
                <w:rFonts w:hint="eastAsia" w:ascii="楷体" w:hAnsi="楷体" w:eastAsia="楷体" w:cs="楷体"/>
                <w:color w:val="auto"/>
                <w:sz w:val="20"/>
                <w:szCs w:val="20"/>
              </w:rPr>
              <w:t>1.信访举报投诉类申请</w:t>
            </w:r>
          </w:p>
        </w:tc>
        <w:tc>
          <w:tcPr>
            <w:tcW w:w="5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9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r>
      <w:tr>
        <w:tblPrEx>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81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20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rPr>
                <w:color w:val="auto"/>
              </w:rPr>
            </w:pPr>
            <w:r>
              <w:rPr>
                <w:rFonts w:hint="eastAsia" w:ascii="楷体" w:hAnsi="楷体" w:eastAsia="楷体" w:cs="楷体"/>
                <w:color w:val="auto"/>
                <w:sz w:val="20"/>
                <w:szCs w:val="20"/>
              </w:rPr>
              <w:t>2.重复申请</w:t>
            </w:r>
          </w:p>
        </w:tc>
        <w:tc>
          <w:tcPr>
            <w:tcW w:w="5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9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r>
      <w:tr>
        <w:tblPrEx>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81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20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rPr>
                <w:color w:val="auto"/>
              </w:rPr>
            </w:pPr>
            <w:r>
              <w:rPr>
                <w:rFonts w:hint="eastAsia" w:ascii="楷体" w:hAnsi="楷体" w:eastAsia="楷体" w:cs="楷体"/>
                <w:color w:val="auto"/>
                <w:sz w:val="20"/>
                <w:szCs w:val="20"/>
              </w:rPr>
              <w:t>3.要求提供公开出版物</w:t>
            </w:r>
          </w:p>
        </w:tc>
        <w:tc>
          <w:tcPr>
            <w:tcW w:w="5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9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r>
      <w:tr>
        <w:tblPrEx>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81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20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rPr>
                <w:color w:val="auto"/>
              </w:rPr>
            </w:pPr>
            <w:r>
              <w:rPr>
                <w:rFonts w:hint="eastAsia" w:ascii="楷体" w:hAnsi="楷体" w:eastAsia="楷体" w:cs="楷体"/>
                <w:color w:val="auto"/>
                <w:sz w:val="20"/>
                <w:szCs w:val="20"/>
              </w:rPr>
              <w:t>4.无正当理由大量反复申请</w:t>
            </w:r>
          </w:p>
        </w:tc>
        <w:tc>
          <w:tcPr>
            <w:tcW w:w="5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9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r>
      <w:tr>
        <w:tblPrEx>
          <w:tblCellMar>
            <w:top w:w="15" w:type="dxa"/>
            <w:left w:w="15" w:type="dxa"/>
            <w:bottom w:w="15" w:type="dxa"/>
            <w:right w:w="15" w:type="dxa"/>
          </w:tblCellMar>
        </w:tblPrEx>
        <w:trPr>
          <w:trHeight w:val="819"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81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20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rPr>
                <w:color w:val="auto"/>
              </w:rPr>
            </w:pPr>
            <w:r>
              <w:rPr>
                <w:rFonts w:hint="eastAsia" w:ascii="楷体" w:hAnsi="楷体" w:eastAsia="楷体" w:cs="楷体"/>
                <w:color w:val="auto"/>
                <w:sz w:val="20"/>
                <w:szCs w:val="20"/>
              </w:rPr>
              <w:t>5.要求行政机关确认或重新出具已获取信息</w:t>
            </w:r>
          </w:p>
        </w:tc>
        <w:tc>
          <w:tcPr>
            <w:tcW w:w="5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9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r>
      <w:tr>
        <w:tblPrEx>
          <w:tblCellMar>
            <w:top w:w="15" w:type="dxa"/>
            <w:left w:w="15" w:type="dxa"/>
            <w:bottom w:w="15" w:type="dxa"/>
            <w:right w:w="15" w:type="dxa"/>
          </w:tblCellMar>
        </w:tblPrEx>
        <w:trPr>
          <w:trHeight w:val="312"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81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rPr>
                <w:color w:val="auto"/>
              </w:rPr>
            </w:pPr>
            <w:r>
              <w:rPr>
                <w:rFonts w:hint="eastAsia" w:ascii="楷体" w:hAnsi="楷体" w:eastAsia="楷体" w:cs="楷体"/>
                <w:color w:val="auto"/>
                <w:sz w:val="20"/>
                <w:szCs w:val="20"/>
              </w:rPr>
              <w:t>（六）其他处理</w:t>
            </w:r>
          </w:p>
        </w:tc>
        <w:tc>
          <w:tcPr>
            <w:tcW w:w="20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rPr>
                <w:color w:val="auto"/>
              </w:rPr>
            </w:pPr>
            <w:r>
              <w:rPr>
                <w:rFonts w:hint="eastAsia" w:ascii="楷体" w:hAnsi="楷体" w:eastAsia="楷体" w:cs="楷体"/>
                <w:color w:val="auto"/>
                <w:sz w:val="20"/>
                <w:szCs w:val="20"/>
              </w:rPr>
              <w:t>1.申请人无正当理由逾期不补正、行政机关不再处理其政府信息公开申请</w:t>
            </w:r>
          </w:p>
        </w:tc>
        <w:tc>
          <w:tcPr>
            <w:tcW w:w="5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9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r>
      <w:tr>
        <w:tblPrEx>
          <w:tblCellMar>
            <w:top w:w="15" w:type="dxa"/>
            <w:left w:w="15" w:type="dxa"/>
            <w:bottom w:w="15" w:type="dxa"/>
            <w:right w:w="15" w:type="dxa"/>
          </w:tblCellMar>
        </w:tblPrEx>
        <w:trPr>
          <w:trHeight w:val="312"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81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20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rPr>
                <w:color w:val="auto"/>
              </w:rPr>
            </w:pPr>
            <w:r>
              <w:rPr>
                <w:rFonts w:hint="eastAsia" w:ascii="楷体" w:hAnsi="楷体" w:eastAsia="楷体" w:cs="楷体"/>
                <w:color w:val="auto"/>
                <w:sz w:val="20"/>
                <w:szCs w:val="20"/>
              </w:rPr>
              <w:t>2.申请人逾期未按收费通知要求缴纳费用、行政机关不再处理其政府信息公开申请</w:t>
            </w:r>
          </w:p>
        </w:tc>
        <w:tc>
          <w:tcPr>
            <w:tcW w:w="5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9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r>
      <w:tr>
        <w:tblPrEx>
          <w:tblCellMar>
            <w:top w:w="15" w:type="dxa"/>
            <w:left w:w="15" w:type="dxa"/>
            <w:bottom w:w="15" w:type="dxa"/>
            <w:right w:w="15" w:type="dxa"/>
          </w:tblCellMar>
        </w:tblPrEx>
        <w:trPr>
          <w:trHeight w:val="312"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81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20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rPr>
                <w:color w:val="auto"/>
              </w:rPr>
            </w:pPr>
            <w:r>
              <w:rPr>
                <w:rFonts w:hint="eastAsia" w:ascii="楷体" w:hAnsi="楷体" w:eastAsia="楷体" w:cs="楷体"/>
                <w:color w:val="auto"/>
                <w:sz w:val="20"/>
                <w:szCs w:val="20"/>
              </w:rPr>
              <w:t>3.其他</w:t>
            </w:r>
          </w:p>
        </w:tc>
        <w:tc>
          <w:tcPr>
            <w:tcW w:w="5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9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r>
      <w:tr>
        <w:tblPrEx>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color w:val="auto"/>
                <w:sz w:val="24"/>
              </w:rPr>
            </w:pPr>
          </w:p>
        </w:tc>
        <w:tc>
          <w:tcPr>
            <w:tcW w:w="285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rPr>
                <w:color w:val="auto"/>
              </w:rPr>
            </w:pPr>
            <w:r>
              <w:rPr>
                <w:rFonts w:hint="eastAsia" w:ascii="楷体" w:hAnsi="楷体" w:eastAsia="楷体" w:cs="楷体"/>
                <w:color w:val="auto"/>
                <w:sz w:val="20"/>
                <w:szCs w:val="20"/>
              </w:rPr>
              <w:t>（七）总计</w:t>
            </w:r>
          </w:p>
        </w:tc>
        <w:tc>
          <w:tcPr>
            <w:tcW w:w="5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1</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9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1</w:t>
            </w:r>
          </w:p>
        </w:tc>
      </w:tr>
      <w:tr>
        <w:tblPrEx>
          <w:tblCellMar>
            <w:top w:w="15" w:type="dxa"/>
            <w:left w:w="15" w:type="dxa"/>
            <w:bottom w:w="15" w:type="dxa"/>
            <w:right w:w="15" w:type="dxa"/>
          </w:tblCellMar>
        </w:tblPrEx>
        <w:trPr>
          <w:jc w:val="center"/>
        </w:trPr>
        <w:tc>
          <w:tcPr>
            <w:tcW w:w="3473"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rPr>
                <w:color w:val="auto"/>
              </w:rPr>
            </w:pPr>
            <w:r>
              <w:rPr>
                <w:rFonts w:hint="eastAsia" w:ascii="宋体" w:hAnsi="宋体" w:eastAsia="宋体" w:cs="宋体"/>
                <w:color w:val="auto"/>
                <w:sz w:val="20"/>
                <w:szCs w:val="20"/>
              </w:rPr>
              <w:t>四、结转下年度继续办理</w:t>
            </w:r>
          </w:p>
        </w:tc>
        <w:tc>
          <w:tcPr>
            <w:tcW w:w="5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77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9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6"/>
              <w:widowControl/>
              <w:wordWrap w:val="0"/>
              <w:spacing w:beforeAutospacing="0" w:afterAutospacing="0"/>
              <w:jc w:val="center"/>
              <w:rPr>
                <w:rFonts w:ascii="仿宋_GB2312" w:eastAsia="仿宋_GB2312" w:cs="仿宋_GB2312"/>
                <w:color w:val="auto"/>
                <w:sz w:val="21"/>
                <w:szCs w:val="21"/>
              </w:rPr>
            </w:pPr>
            <w:r>
              <w:rPr>
                <w:rFonts w:ascii="仿宋_GB2312" w:eastAsia="仿宋_GB2312" w:cs="仿宋_GB2312"/>
                <w:color w:val="auto"/>
                <w:sz w:val="21"/>
                <w:szCs w:val="21"/>
              </w:rPr>
              <w:t>0</w:t>
            </w:r>
          </w:p>
        </w:tc>
      </w:tr>
    </w:tbl>
    <w:p>
      <w:pPr>
        <w:pStyle w:val="6"/>
        <w:widowControl/>
        <w:shd w:val="clear" w:color="auto" w:fill="FFFFFF"/>
        <w:spacing w:beforeAutospacing="0" w:afterAutospacing="0"/>
        <w:jc w:val="both"/>
        <w:rPr>
          <w:rFonts w:ascii="宋体" w:hAnsi="宋体" w:eastAsia="宋体" w:cs="宋体"/>
          <w:color w:val="auto"/>
        </w:rPr>
      </w:pPr>
      <w:r>
        <w:rPr>
          <w:rFonts w:ascii="仿宋_GB2312" w:hAnsi="宋体" w:eastAsia="仿宋_GB2312" w:cs="仿宋_GB2312"/>
          <w:color w:val="auto"/>
          <w:sz w:val="32"/>
          <w:szCs w:val="32"/>
          <w:shd w:val="clear" w:color="auto" w:fill="FFFFFF"/>
        </w:rPr>
        <w:t> </w:t>
      </w:r>
    </w:p>
    <w:p>
      <w:pPr>
        <w:pStyle w:val="6"/>
        <w:widowControl/>
        <w:shd w:val="clear" w:color="auto" w:fill="FFFFFF"/>
        <w:spacing w:beforeAutospacing="0" w:afterAutospacing="0" w:line="560" w:lineRule="atLeast"/>
        <w:ind w:firstLine="643"/>
        <w:jc w:val="both"/>
        <w:rPr>
          <w:rFonts w:ascii="黑体" w:hAnsi="黑体" w:eastAsia="黑体" w:cs="宋体"/>
          <w:color w:val="auto"/>
        </w:rPr>
      </w:pPr>
      <w:r>
        <w:rPr>
          <w:rFonts w:hint="eastAsia" w:ascii="黑体" w:hAnsi="黑体" w:eastAsia="黑体" w:cs="仿宋"/>
          <w:bCs/>
          <w:color w:val="auto"/>
          <w:sz w:val="32"/>
          <w:szCs w:val="32"/>
          <w:shd w:val="clear" w:color="auto" w:fill="FFFFFF"/>
        </w:rPr>
        <w:t>四、政府信息公开行政复议、行政诉讼情况</w:t>
      </w:r>
    </w:p>
    <w:tbl>
      <w:tblPr>
        <w:tblStyle w:val="8"/>
        <w:tblW w:w="0" w:type="auto"/>
        <w:jc w:val="center"/>
        <w:tblLayout w:type="autofit"/>
        <w:tblCellMar>
          <w:top w:w="15" w:type="dxa"/>
          <w:left w:w="15" w:type="dxa"/>
          <w:bottom w:w="15" w:type="dxa"/>
          <w:right w:w="15" w:type="dxa"/>
        </w:tblCellMar>
      </w:tblPr>
      <w:tblGrid>
        <w:gridCol w:w="568"/>
        <w:gridCol w:w="568"/>
        <w:gridCol w:w="568"/>
        <w:gridCol w:w="568"/>
        <w:gridCol w:w="611"/>
        <w:gridCol w:w="524"/>
        <w:gridCol w:w="568"/>
        <w:gridCol w:w="568"/>
        <w:gridCol w:w="568"/>
        <w:gridCol w:w="568"/>
        <w:gridCol w:w="568"/>
        <w:gridCol w:w="568"/>
        <w:gridCol w:w="568"/>
        <w:gridCol w:w="569"/>
        <w:gridCol w:w="570"/>
      </w:tblGrid>
      <w:tr>
        <w:tblPrEx>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行政诉讼</w:t>
            </w:r>
          </w:p>
        </w:tc>
      </w:tr>
      <w:tr>
        <w:tblPrEx>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结果维持</w:t>
            </w:r>
          </w:p>
        </w:tc>
        <w:tc>
          <w:tcPr>
            <w:tcW w:w="60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结果纠正</w:t>
            </w:r>
          </w:p>
        </w:tc>
        <w:tc>
          <w:tcPr>
            <w:tcW w:w="60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其他结果</w:t>
            </w:r>
          </w:p>
        </w:tc>
        <w:tc>
          <w:tcPr>
            <w:tcW w:w="60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尚未审结</w:t>
            </w:r>
          </w:p>
        </w:tc>
        <w:tc>
          <w:tcPr>
            <w:tcW w:w="65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总计</w:t>
            </w:r>
          </w:p>
        </w:tc>
        <w:tc>
          <w:tcPr>
            <w:tcW w:w="2970"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未经复议直接起诉</w:t>
            </w:r>
          </w:p>
        </w:tc>
        <w:tc>
          <w:tcPr>
            <w:tcW w:w="3027"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复议后起诉</w:t>
            </w:r>
          </w:p>
        </w:tc>
      </w:tr>
      <w:tr>
        <w:tblPrEx>
          <w:tblCellMar>
            <w:top w:w="15" w:type="dxa"/>
            <w:left w:w="15" w:type="dxa"/>
            <w:bottom w:w="15" w:type="dxa"/>
            <w:right w:w="15"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ascii="宋体"/>
                <w:color w:val="auto"/>
                <w:sz w:val="24"/>
              </w:rPr>
            </w:pPr>
          </w:p>
        </w:tc>
        <w:tc>
          <w:tcPr>
            <w:tcW w:w="604"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ascii="宋体"/>
                <w:color w:val="auto"/>
                <w:sz w:val="24"/>
              </w:rPr>
            </w:pPr>
          </w:p>
        </w:tc>
        <w:tc>
          <w:tcPr>
            <w:tcW w:w="604"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ascii="宋体"/>
                <w:color w:val="auto"/>
                <w:sz w:val="24"/>
              </w:rPr>
            </w:pPr>
          </w:p>
        </w:tc>
        <w:tc>
          <w:tcPr>
            <w:tcW w:w="604"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ascii="宋体"/>
                <w:color w:val="auto"/>
                <w:sz w:val="24"/>
              </w:rPr>
            </w:pPr>
          </w:p>
        </w:tc>
        <w:tc>
          <w:tcPr>
            <w:tcW w:w="6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ascii="宋体"/>
                <w:color w:val="auto"/>
                <w:sz w:val="24"/>
              </w:rPr>
            </w:pPr>
          </w:p>
        </w:tc>
        <w:tc>
          <w:tcPr>
            <w:tcW w:w="5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结果维持</w:t>
            </w:r>
          </w:p>
        </w:tc>
        <w:tc>
          <w:tcPr>
            <w:tcW w:w="6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结果纠正</w:t>
            </w:r>
          </w:p>
        </w:tc>
        <w:tc>
          <w:tcPr>
            <w:tcW w:w="6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其他结果</w:t>
            </w:r>
          </w:p>
        </w:tc>
        <w:tc>
          <w:tcPr>
            <w:tcW w:w="6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尚未审结</w:t>
            </w:r>
          </w:p>
        </w:tc>
        <w:tc>
          <w:tcPr>
            <w:tcW w:w="6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总计</w:t>
            </w:r>
          </w:p>
        </w:tc>
        <w:tc>
          <w:tcPr>
            <w:tcW w:w="6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结果维持</w:t>
            </w:r>
          </w:p>
        </w:tc>
        <w:tc>
          <w:tcPr>
            <w:tcW w:w="6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结果纠正</w:t>
            </w:r>
          </w:p>
        </w:tc>
        <w:tc>
          <w:tcPr>
            <w:tcW w:w="6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其他结果</w:t>
            </w:r>
          </w:p>
        </w:tc>
        <w:tc>
          <w:tcPr>
            <w:tcW w:w="6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尚未审结</w:t>
            </w:r>
          </w:p>
        </w:tc>
        <w:tc>
          <w:tcPr>
            <w:tcW w:w="6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hint="eastAsia" w:ascii="宋体" w:hAnsi="宋体" w:eastAsia="宋体" w:cs="宋体"/>
                <w:color w:val="auto"/>
                <w:sz w:val="20"/>
                <w:szCs w:val="20"/>
              </w:rPr>
              <w:t>总计</w:t>
            </w:r>
          </w:p>
        </w:tc>
      </w:tr>
      <w:tr>
        <w:tblPrEx>
          <w:tblCellMar>
            <w:top w:w="15" w:type="dxa"/>
            <w:left w:w="15" w:type="dxa"/>
            <w:bottom w:w="15" w:type="dxa"/>
            <w:right w:w="15" w:type="dxa"/>
          </w:tblCellMar>
        </w:tblPrEx>
        <w:trPr>
          <w:trHeight w:val="587" w:hRule="atLeast"/>
          <w:jc w:val="center"/>
        </w:trPr>
        <w:tc>
          <w:tcPr>
            <w:tcW w:w="6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ascii="Calibri" w:hAnsi="Calibri" w:cs="Calibri"/>
                <w:color w:val="auto"/>
                <w:sz w:val="21"/>
                <w:szCs w:val="21"/>
              </w:rPr>
              <w:t>0</w:t>
            </w:r>
          </w:p>
        </w:tc>
        <w:tc>
          <w:tcPr>
            <w:tcW w:w="6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ascii="Calibri" w:hAnsi="Calibri" w:cs="Calibri"/>
                <w:color w:val="auto"/>
                <w:sz w:val="21"/>
                <w:szCs w:val="21"/>
              </w:rPr>
              <w:t>0</w:t>
            </w:r>
          </w:p>
        </w:tc>
        <w:tc>
          <w:tcPr>
            <w:tcW w:w="6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ascii="Calibri" w:hAnsi="Calibri" w:cs="Calibri"/>
                <w:color w:val="auto"/>
                <w:sz w:val="21"/>
                <w:szCs w:val="21"/>
              </w:rPr>
              <w:t>0</w:t>
            </w:r>
          </w:p>
        </w:tc>
        <w:tc>
          <w:tcPr>
            <w:tcW w:w="6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ascii="Calibri" w:hAnsi="Calibri" w:cs="Calibri"/>
                <w:color w:val="auto"/>
                <w:sz w:val="21"/>
                <w:szCs w:val="21"/>
              </w:rPr>
              <w:t>0</w:t>
            </w:r>
          </w:p>
        </w:tc>
        <w:tc>
          <w:tcPr>
            <w:tcW w:w="6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ascii="Calibri" w:hAnsi="Calibri" w:cs="Calibri"/>
                <w:color w:val="auto"/>
                <w:sz w:val="21"/>
                <w:szCs w:val="21"/>
              </w:rPr>
              <w:t>0</w:t>
            </w:r>
          </w:p>
        </w:tc>
        <w:tc>
          <w:tcPr>
            <w:tcW w:w="5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ascii="Calibri" w:hAnsi="Calibri" w:cs="Calibri"/>
                <w:color w:val="auto"/>
                <w:sz w:val="21"/>
                <w:szCs w:val="21"/>
              </w:rPr>
              <w:t>0</w:t>
            </w:r>
          </w:p>
        </w:tc>
        <w:tc>
          <w:tcPr>
            <w:tcW w:w="6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ascii="Calibri" w:hAnsi="Calibri" w:cs="Calibri"/>
                <w:color w:val="auto"/>
                <w:sz w:val="21"/>
                <w:szCs w:val="21"/>
              </w:rPr>
              <w:t>0</w:t>
            </w:r>
          </w:p>
        </w:tc>
        <w:tc>
          <w:tcPr>
            <w:tcW w:w="6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ascii="Calibri" w:hAnsi="Calibri" w:cs="Calibri"/>
                <w:color w:val="auto"/>
                <w:sz w:val="21"/>
                <w:szCs w:val="21"/>
              </w:rPr>
              <w:t>0</w:t>
            </w:r>
          </w:p>
        </w:tc>
        <w:tc>
          <w:tcPr>
            <w:tcW w:w="6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ascii="Calibri" w:hAnsi="Calibri" w:cs="Calibri"/>
                <w:color w:val="auto"/>
                <w:sz w:val="21"/>
                <w:szCs w:val="21"/>
              </w:rPr>
              <w:t>0</w:t>
            </w:r>
          </w:p>
        </w:tc>
        <w:tc>
          <w:tcPr>
            <w:tcW w:w="6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ascii="Calibri" w:hAnsi="Calibri" w:cs="Calibri"/>
                <w:color w:val="auto"/>
                <w:sz w:val="21"/>
                <w:szCs w:val="21"/>
              </w:rPr>
              <w:t>0</w:t>
            </w:r>
          </w:p>
        </w:tc>
        <w:tc>
          <w:tcPr>
            <w:tcW w:w="6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ascii="Calibri" w:hAnsi="Calibri" w:cs="Calibri"/>
                <w:color w:val="auto"/>
                <w:sz w:val="21"/>
                <w:szCs w:val="21"/>
              </w:rPr>
              <w:t>0</w:t>
            </w:r>
          </w:p>
        </w:tc>
        <w:tc>
          <w:tcPr>
            <w:tcW w:w="6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ascii="Calibri" w:hAnsi="Calibri" w:cs="Calibri"/>
                <w:color w:val="auto"/>
                <w:sz w:val="21"/>
                <w:szCs w:val="21"/>
              </w:rPr>
              <w:t>0</w:t>
            </w:r>
          </w:p>
        </w:tc>
        <w:tc>
          <w:tcPr>
            <w:tcW w:w="6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ascii="Calibri" w:hAnsi="Calibri" w:cs="Calibri"/>
                <w:color w:val="auto"/>
                <w:sz w:val="21"/>
                <w:szCs w:val="21"/>
              </w:rPr>
              <w:t>0</w:t>
            </w:r>
          </w:p>
        </w:tc>
        <w:tc>
          <w:tcPr>
            <w:tcW w:w="6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center"/>
              <w:rPr>
                <w:color w:val="auto"/>
              </w:rPr>
            </w:pPr>
            <w:r>
              <w:rPr>
                <w:rFonts w:ascii="Calibri" w:hAnsi="Calibri" w:cs="Calibri"/>
                <w:color w:val="auto"/>
                <w:sz w:val="21"/>
                <w:szCs w:val="21"/>
              </w:rPr>
              <w:t>0</w:t>
            </w:r>
          </w:p>
        </w:tc>
        <w:tc>
          <w:tcPr>
            <w:tcW w:w="6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6"/>
              <w:widowControl/>
              <w:wordWrap w:val="0"/>
              <w:spacing w:beforeAutospacing="0" w:afterAutospacing="0"/>
              <w:jc w:val="both"/>
              <w:rPr>
                <w:color w:val="auto"/>
              </w:rPr>
            </w:pPr>
            <w:r>
              <w:rPr>
                <w:rFonts w:ascii="Calibri" w:hAnsi="Calibri" w:cs="Calibri"/>
                <w:color w:val="auto"/>
                <w:sz w:val="21"/>
                <w:szCs w:val="21"/>
              </w:rPr>
              <w:t>0</w:t>
            </w:r>
          </w:p>
        </w:tc>
      </w:tr>
    </w:tbl>
    <w:p>
      <w:pPr>
        <w:pStyle w:val="6"/>
        <w:widowControl/>
        <w:shd w:val="clear" w:color="auto" w:fill="FFFFFF"/>
        <w:spacing w:beforeAutospacing="0" w:afterAutospacing="0"/>
        <w:ind w:left="703"/>
        <w:jc w:val="both"/>
        <w:rPr>
          <w:rFonts w:ascii="宋体" w:hAnsi="宋体" w:eastAsia="宋体" w:cs="宋体"/>
          <w:color w:val="auto"/>
        </w:rPr>
      </w:pPr>
      <w:r>
        <w:rPr>
          <w:rFonts w:ascii="仿宋_GB2312" w:hAnsi="宋体" w:eastAsia="仿宋_GB2312" w:cs="仿宋_GB2312"/>
          <w:color w:val="auto"/>
          <w:sz w:val="21"/>
          <w:szCs w:val="21"/>
          <w:shd w:val="clear" w:color="auto" w:fill="FFFFFF"/>
        </w:rPr>
        <w:t> </w:t>
      </w:r>
    </w:p>
    <w:p>
      <w:pPr>
        <w:pStyle w:val="6"/>
        <w:widowControl/>
        <w:shd w:val="clear" w:color="auto" w:fill="FFFFFF"/>
        <w:spacing w:beforeAutospacing="0" w:afterAutospacing="0" w:line="560" w:lineRule="atLeast"/>
        <w:ind w:firstLine="643"/>
        <w:jc w:val="both"/>
        <w:rPr>
          <w:rFonts w:ascii="黑体" w:hAnsi="黑体" w:eastAsia="黑体" w:cs="仿宋"/>
          <w:bCs/>
          <w:color w:val="auto"/>
          <w:sz w:val="32"/>
          <w:szCs w:val="32"/>
          <w:shd w:val="clear" w:color="auto" w:fill="FFFFFF"/>
        </w:rPr>
      </w:pPr>
      <w:r>
        <w:rPr>
          <w:rFonts w:hint="eastAsia" w:ascii="黑体" w:hAnsi="黑体" w:eastAsia="黑体" w:cs="仿宋"/>
          <w:bCs/>
          <w:color w:val="auto"/>
          <w:sz w:val="32"/>
          <w:szCs w:val="32"/>
          <w:shd w:val="clear" w:color="auto" w:fill="FFFFFF"/>
        </w:rPr>
        <w:t>五、存在的主要问题及改进措施</w:t>
      </w:r>
    </w:p>
    <w:p>
      <w:pPr>
        <w:pStyle w:val="6"/>
        <w:widowControl/>
        <w:shd w:val="clear" w:color="auto" w:fill="FFFFFF"/>
        <w:spacing w:beforeAutospacing="0" w:afterAutospacing="0" w:line="560" w:lineRule="atLeast"/>
        <w:ind w:firstLine="643"/>
        <w:jc w:val="both"/>
        <w:rPr>
          <w:rFonts w:ascii="仿宋" w:hAnsi="仿宋" w:eastAsia="仿宋" w:cs="仿宋"/>
          <w:b/>
          <w:bCs/>
          <w:color w:val="auto"/>
          <w:sz w:val="32"/>
          <w:szCs w:val="32"/>
          <w:shd w:val="clear" w:color="auto" w:fill="FFFFFF"/>
        </w:rPr>
      </w:pPr>
      <w:r>
        <w:rPr>
          <w:rFonts w:hint="eastAsia" w:ascii="仿宋" w:hAnsi="仿宋" w:eastAsia="仿宋" w:cs="仿宋"/>
          <w:color w:val="auto"/>
          <w:sz w:val="32"/>
          <w:szCs w:val="32"/>
          <w:shd w:val="clear" w:color="auto" w:fill="FFFFFF"/>
        </w:rPr>
        <w:t>2023年，我局政府信息公开工作取得了一定成绩，但还存在不足，主要表现为：</w:t>
      </w:r>
    </w:p>
    <w:p>
      <w:pPr>
        <w:widowControl/>
        <w:shd w:val="clear" w:color="auto" w:fill="FFFFFF"/>
        <w:spacing w:line="560" w:lineRule="atLeast"/>
        <w:ind w:firstLine="643" w:firstLineChars="200"/>
        <w:jc w:val="left"/>
        <w:rPr>
          <w:rFonts w:ascii="仿宋" w:hAnsi="仿宋" w:eastAsia="仿宋" w:cs="仿宋"/>
          <w:color w:val="auto"/>
          <w:sz w:val="32"/>
          <w:szCs w:val="32"/>
        </w:rPr>
      </w:pPr>
      <w:r>
        <w:rPr>
          <w:rFonts w:hint="eastAsia" w:ascii="仿宋" w:hAnsi="仿宋" w:eastAsia="仿宋" w:cs="仿宋"/>
          <w:b/>
          <w:bCs/>
          <w:color w:val="auto"/>
          <w:kern w:val="0"/>
          <w:sz w:val="32"/>
          <w:szCs w:val="32"/>
          <w:shd w:val="clear" w:color="auto" w:fill="FFFFFF"/>
        </w:rPr>
        <w:t>（一）存在的问题。</w:t>
      </w:r>
    </w:p>
    <w:p>
      <w:pPr>
        <w:pStyle w:val="6"/>
        <w:widowControl/>
        <w:shd w:val="clear" w:color="auto" w:fill="FFFFFF"/>
        <w:spacing w:beforeAutospacing="0" w:afterAutospacing="0" w:line="30" w:lineRule="atLeast"/>
        <w:ind w:firstLine="640" w:firstLineChars="200"/>
        <w:jc w:val="both"/>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一是政务信息公开的内容不</w:t>
      </w:r>
      <w:r>
        <w:rPr>
          <w:rFonts w:hint="eastAsia" w:ascii="仿宋" w:hAnsi="仿宋" w:eastAsia="仿宋" w:cs="仿宋"/>
          <w:color w:val="auto"/>
          <w:sz w:val="32"/>
          <w:szCs w:val="32"/>
          <w:shd w:val="clear" w:color="auto" w:fill="FFFFFF"/>
          <w:lang w:eastAsia="zh-CN"/>
        </w:rPr>
        <w:t>具体，对需要公开的信息认识不到位、重视不够，主动公开的信息内容与公众的需求还存在一定差距</w:t>
      </w:r>
      <w:r>
        <w:rPr>
          <w:rFonts w:hint="eastAsia" w:ascii="仿宋" w:hAnsi="仿宋" w:eastAsia="仿宋" w:cs="仿宋"/>
          <w:color w:val="auto"/>
          <w:sz w:val="32"/>
          <w:szCs w:val="32"/>
          <w:shd w:val="clear" w:color="auto" w:fill="FFFFFF"/>
        </w:rPr>
        <w:t>。</w:t>
      </w:r>
    </w:p>
    <w:p>
      <w:pPr>
        <w:pStyle w:val="6"/>
        <w:widowControl/>
        <w:shd w:val="clear" w:color="auto" w:fill="FFFFFF"/>
        <w:spacing w:beforeAutospacing="0" w:afterAutospacing="0" w:line="30" w:lineRule="atLeast"/>
        <w:ind w:firstLine="640" w:firstLineChars="200"/>
        <w:jc w:val="both"/>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二是政策解读类信息公开较少</w:t>
      </w:r>
      <w:r>
        <w:rPr>
          <w:rFonts w:hint="eastAsia" w:ascii="仿宋" w:hAnsi="仿宋" w:eastAsia="仿宋" w:cs="仿宋"/>
          <w:color w:val="auto"/>
          <w:sz w:val="32"/>
          <w:szCs w:val="32"/>
          <w:shd w:val="clear" w:color="auto" w:fill="FFFFFF"/>
          <w:lang w:eastAsia="zh-CN"/>
        </w:rPr>
        <w:t>，对群众关切的社会热点信息解读、公告不全面、不细致，缺少创新举措、群众参与度不高，便民性有待进一步提高</w:t>
      </w:r>
      <w:r>
        <w:rPr>
          <w:rFonts w:hint="eastAsia" w:ascii="仿宋" w:hAnsi="仿宋" w:eastAsia="仿宋" w:cs="仿宋"/>
          <w:color w:val="auto"/>
          <w:sz w:val="32"/>
          <w:szCs w:val="32"/>
          <w:shd w:val="clear" w:color="auto" w:fill="FFFFFF"/>
        </w:rPr>
        <w:t>。</w:t>
      </w:r>
    </w:p>
    <w:p>
      <w:pPr>
        <w:pStyle w:val="6"/>
        <w:widowControl/>
        <w:shd w:val="clear" w:color="auto" w:fill="FFFFFF"/>
        <w:spacing w:beforeAutospacing="0" w:afterAutospacing="0" w:line="30" w:lineRule="atLeast"/>
        <w:ind w:firstLine="640" w:firstLineChars="200"/>
        <w:jc w:val="both"/>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三是政务</w:t>
      </w:r>
      <w:r>
        <w:rPr>
          <w:rFonts w:hint="eastAsia" w:ascii="仿宋" w:hAnsi="仿宋" w:eastAsia="仿宋" w:cs="仿宋"/>
          <w:color w:val="auto"/>
          <w:sz w:val="32"/>
          <w:szCs w:val="32"/>
          <w:shd w:val="clear" w:color="auto" w:fill="FFFFFF"/>
        </w:rPr>
        <w:t>更新</w:t>
      </w:r>
      <w:r>
        <w:rPr>
          <w:rFonts w:hint="eastAsia" w:ascii="仿宋" w:hAnsi="仿宋" w:eastAsia="仿宋" w:cs="仿宋"/>
          <w:color w:val="auto"/>
          <w:sz w:val="32"/>
          <w:szCs w:val="32"/>
          <w:shd w:val="clear" w:color="auto" w:fill="FFFFFF"/>
          <w:lang w:val="en-US" w:eastAsia="zh-CN"/>
        </w:rPr>
        <w:t>公开不及时，政务信息公开是一项长期日常性工作，长效工作机制不够完善。</w:t>
      </w:r>
    </w:p>
    <w:p>
      <w:pPr>
        <w:pStyle w:val="6"/>
        <w:widowControl/>
        <w:shd w:val="clear" w:color="auto" w:fill="FFFFFF"/>
        <w:spacing w:beforeAutospacing="0" w:afterAutospacing="0" w:line="30" w:lineRule="atLeast"/>
        <w:ind w:firstLine="643" w:firstLineChars="200"/>
        <w:jc w:val="both"/>
        <w:rPr>
          <w:rFonts w:ascii="仿宋" w:hAnsi="仿宋" w:eastAsia="仿宋" w:cs="仿宋"/>
          <w:b/>
          <w:bCs/>
          <w:color w:val="auto"/>
          <w:sz w:val="32"/>
          <w:szCs w:val="32"/>
          <w:shd w:val="clear" w:color="auto" w:fill="FFFFFF"/>
        </w:rPr>
      </w:pPr>
      <w:r>
        <w:rPr>
          <w:rFonts w:hint="eastAsia" w:ascii="仿宋" w:hAnsi="仿宋" w:eastAsia="仿宋" w:cs="仿宋"/>
          <w:b/>
          <w:bCs/>
          <w:color w:val="auto"/>
          <w:sz w:val="32"/>
          <w:szCs w:val="32"/>
          <w:shd w:val="clear" w:color="auto" w:fill="FFFFFF"/>
        </w:rPr>
        <w:t>（二）改进措施</w:t>
      </w:r>
    </w:p>
    <w:p>
      <w:pPr>
        <w:pStyle w:val="6"/>
        <w:widowControl/>
        <w:spacing w:beforeAutospacing="0" w:afterAutospacing="0"/>
        <w:ind w:firstLine="640" w:firstLineChars="200"/>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一、加强对信息人员的业务培训，</w:t>
      </w:r>
      <w:r>
        <w:rPr>
          <w:rFonts w:hint="eastAsia" w:ascii="仿宋" w:hAnsi="仿宋" w:eastAsia="仿宋" w:cs="仿宋"/>
          <w:color w:val="auto"/>
          <w:sz w:val="32"/>
          <w:szCs w:val="32"/>
        </w:rPr>
        <w:t>掌握政府信息公开工作的最新工作标准要求，切实增强业务水平，</w:t>
      </w:r>
      <w:r>
        <w:rPr>
          <w:rFonts w:hint="eastAsia" w:ascii="仿宋" w:hAnsi="仿宋" w:eastAsia="仿宋" w:cs="仿宋"/>
          <w:color w:val="auto"/>
          <w:sz w:val="32"/>
          <w:szCs w:val="32"/>
          <w:shd w:val="clear" w:color="auto" w:fill="FFFFFF"/>
        </w:rPr>
        <w:t>及时更新各类信息，</w:t>
      </w:r>
      <w:r>
        <w:rPr>
          <w:rFonts w:ascii="仿宋" w:hAnsi="仿宋" w:eastAsia="仿宋" w:cs="仿宋"/>
          <w:color w:val="auto"/>
          <w:sz w:val="32"/>
          <w:szCs w:val="32"/>
          <w:shd w:val="clear" w:color="auto" w:fill="FFFFFF"/>
        </w:rPr>
        <w:t>全方位公开发布公安类政府信息</w:t>
      </w:r>
      <w:r>
        <w:rPr>
          <w:rFonts w:hint="eastAsia" w:ascii="仿宋" w:hAnsi="仿宋" w:eastAsia="仿宋" w:cs="仿宋"/>
          <w:color w:val="auto"/>
          <w:sz w:val="32"/>
          <w:szCs w:val="32"/>
          <w:shd w:val="clear" w:color="auto" w:fill="FFFFFF"/>
        </w:rPr>
        <w:t>。</w:t>
      </w:r>
    </w:p>
    <w:p>
      <w:pPr>
        <w:pStyle w:val="6"/>
        <w:widowControl/>
        <w:shd w:val="clear" w:color="auto" w:fill="FFFFFF"/>
        <w:spacing w:beforeAutospacing="0" w:afterAutospacing="0" w:line="560" w:lineRule="atLeast"/>
        <w:ind w:firstLine="643"/>
        <w:rPr>
          <w:rFonts w:ascii="仿宋" w:hAnsi="仿宋" w:eastAsia="仿宋" w:cs="仿宋"/>
          <w:color w:val="auto"/>
          <w:sz w:val="32"/>
          <w:szCs w:val="32"/>
          <w:shd w:val="clear" w:color="auto" w:fill="FFFFFF"/>
        </w:rPr>
      </w:pPr>
      <w:r>
        <w:rPr>
          <w:rFonts w:hint="eastAsia" w:ascii="仿宋" w:hAnsi="仿宋" w:eastAsia="仿宋" w:cs="仿宋"/>
          <w:color w:val="auto"/>
          <w:sz w:val="32"/>
          <w:szCs w:val="32"/>
        </w:rPr>
        <w:t>二、</w:t>
      </w:r>
      <w:r>
        <w:rPr>
          <w:rFonts w:hint="eastAsia" w:ascii="仿宋" w:hAnsi="仿宋" w:eastAsia="仿宋" w:cs="仿宋"/>
          <w:color w:val="auto"/>
          <w:sz w:val="32"/>
          <w:szCs w:val="32"/>
          <w:shd w:val="clear" w:color="auto" w:fill="FFFFFF"/>
        </w:rPr>
        <w:t>加强政策解读能力、丰富政策解读形式，多运用简明问答、图表图解、卡通动漫等多元化形式和生动灵活语言进行解读。</w:t>
      </w:r>
    </w:p>
    <w:p>
      <w:pPr>
        <w:pStyle w:val="6"/>
        <w:widowControl/>
        <w:shd w:val="clear" w:color="auto" w:fill="FFFFFF"/>
        <w:spacing w:beforeAutospacing="0" w:afterAutospacing="0" w:line="560" w:lineRule="atLeast"/>
        <w:ind w:firstLine="643"/>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三、在日常工作中定期做好信息维护，不断更新和充实栏目内容，确保政务信息公开高效运行。</w:t>
      </w:r>
    </w:p>
    <w:p>
      <w:pPr>
        <w:pStyle w:val="6"/>
        <w:widowControl/>
        <w:shd w:val="clear" w:color="auto" w:fill="FFFFFF"/>
        <w:spacing w:beforeAutospacing="0" w:afterAutospacing="0" w:line="560" w:lineRule="atLeast"/>
        <w:ind w:firstLine="643"/>
        <w:rPr>
          <w:rFonts w:ascii="黑体" w:hAnsi="黑体" w:eastAsia="黑体" w:cs="仿宋"/>
          <w:bCs/>
          <w:color w:val="auto"/>
          <w:sz w:val="32"/>
          <w:szCs w:val="32"/>
          <w:shd w:val="clear" w:color="auto" w:fill="FFFFFF"/>
        </w:rPr>
      </w:pPr>
      <w:r>
        <w:rPr>
          <w:rFonts w:hint="eastAsia" w:ascii="黑体" w:hAnsi="黑体" w:eastAsia="黑体" w:cs="仿宋"/>
          <w:bCs/>
          <w:color w:val="auto"/>
          <w:sz w:val="32"/>
          <w:szCs w:val="32"/>
          <w:shd w:val="clear" w:color="auto" w:fill="FFFFFF"/>
        </w:rPr>
        <w:t>六、其他需要报告的事项</w:t>
      </w:r>
    </w:p>
    <w:p>
      <w:pPr>
        <w:pStyle w:val="6"/>
        <w:widowControl/>
        <w:shd w:val="clear" w:color="auto" w:fill="FFFFFF"/>
        <w:spacing w:beforeAutospacing="0" w:afterAutospacing="0" w:line="560" w:lineRule="atLeast"/>
        <w:ind w:firstLine="643"/>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按照《国务院办公厅关于印发〈政府信息公开信息处理费管理办法〉的通知》（国办函〔2020〕109号）规定的按件、按量收费标准，本年度没有产生信息公开处理费。</w:t>
      </w:r>
    </w:p>
    <w:p>
      <w:pPr>
        <w:rPr>
          <w:rFonts w:ascii="仿宋" w:hAnsi="仿宋" w:eastAsia="仿宋" w:cs="仿宋"/>
          <w:color w:val="auto"/>
          <w:kern w:val="0"/>
          <w:sz w:val="32"/>
          <w:szCs w:val="32"/>
          <w:shd w:val="clear" w:color="auto" w:fill="FFFFFF"/>
        </w:rPr>
      </w:pPr>
      <w:r>
        <w:rPr>
          <w:rFonts w:ascii="仿宋" w:hAnsi="仿宋" w:eastAsia="仿宋" w:cs="仿宋"/>
          <w:color w:val="auto"/>
          <w:kern w:val="0"/>
          <w:sz w:val="32"/>
          <w:szCs w:val="32"/>
          <w:shd w:val="clear" w:color="auto" w:fill="FFFFFF"/>
        </w:rPr>
        <w:t>                                                  </w:t>
      </w:r>
    </w:p>
    <w:p>
      <w:pPr>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 </w:t>
      </w:r>
    </w:p>
    <w:p>
      <w:pPr>
        <w:jc w:val="right"/>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 来安县公安局</w:t>
      </w:r>
    </w:p>
    <w:p>
      <w:pPr>
        <w:jc w:val="right"/>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        2024年1月17日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yYjU0YTMzOWQzNTU4OGQ1YTExMjlmMWZlZTZhNDUifQ=="/>
  </w:docVars>
  <w:rsids>
    <w:rsidRoot w:val="002B1CEB"/>
    <w:rsid w:val="000B0528"/>
    <w:rsid w:val="0022700F"/>
    <w:rsid w:val="002B1CEB"/>
    <w:rsid w:val="004253F1"/>
    <w:rsid w:val="004563E5"/>
    <w:rsid w:val="0048412A"/>
    <w:rsid w:val="007B6E9C"/>
    <w:rsid w:val="00A053E6"/>
    <w:rsid w:val="00AC1A62"/>
    <w:rsid w:val="00C43E87"/>
    <w:rsid w:val="00FC3DAD"/>
    <w:rsid w:val="0DF074CC"/>
    <w:rsid w:val="18BD0D40"/>
    <w:rsid w:val="1ED30524"/>
    <w:rsid w:val="219C2D85"/>
    <w:rsid w:val="2A606DBA"/>
    <w:rsid w:val="3783325B"/>
    <w:rsid w:val="3F54250C"/>
    <w:rsid w:val="42836EB8"/>
    <w:rsid w:val="4B4973ED"/>
    <w:rsid w:val="508325D4"/>
    <w:rsid w:val="56D51A69"/>
    <w:rsid w:val="58AE6BC3"/>
    <w:rsid w:val="58FD5414"/>
    <w:rsid w:val="59341F83"/>
    <w:rsid w:val="7B335C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link w:val="16"/>
    <w:autoRedefine/>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link w:val="11"/>
    <w:autoRedefine/>
    <w:qFormat/>
    <w:uiPriority w:val="0"/>
    <w:pPr>
      <w:tabs>
        <w:tab w:val="center" w:pos="4153"/>
        <w:tab w:val="right" w:pos="8306"/>
      </w:tabs>
      <w:snapToGrid w:val="0"/>
      <w:jc w:val="left"/>
    </w:pPr>
    <w:rPr>
      <w:sz w:val="18"/>
      <w:szCs w:val="18"/>
    </w:rPr>
  </w:style>
  <w:style w:type="paragraph" w:styleId="5">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Autospacing="1" w:afterAutospacing="1"/>
      <w:jc w:val="left"/>
    </w:pPr>
    <w:rPr>
      <w:rFonts w:cs="Times New Roman"/>
      <w:kern w:val="0"/>
      <w:sz w:val="24"/>
    </w:rPr>
  </w:style>
  <w:style w:type="paragraph" w:styleId="7">
    <w:name w:val="Title"/>
    <w:basedOn w:val="1"/>
    <w:next w:val="1"/>
    <w:link w:val="12"/>
    <w:autoRedefine/>
    <w:qFormat/>
    <w:uiPriority w:val="0"/>
    <w:pPr>
      <w:spacing w:before="240" w:after="60"/>
      <w:jc w:val="center"/>
      <w:outlineLvl w:val="0"/>
    </w:pPr>
    <w:rPr>
      <w:rFonts w:eastAsia="宋体" w:asciiTheme="majorHAnsi" w:hAnsiTheme="majorHAnsi" w:cstheme="majorBidi"/>
      <w:b/>
      <w:bCs/>
      <w:sz w:val="32"/>
      <w:szCs w:val="32"/>
    </w:rPr>
  </w:style>
  <w:style w:type="character" w:customStyle="1" w:styleId="10">
    <w:name w:val="页眉 Char"/>
    <w:basedOn w:val="9"/>
    <w:link w:val="5"/>
    <w:autoRedefine/>
    <w:qFormat/>
    <w:uiPriority w:val="0"/>
    <w:rPr>
      <w:rFonts w:asciiTheme="minorHAnsi" w:hAnsiTheme="minorHAnsi" w:eastAsiaTheme="minorEastAsia" w:cstheme="minorBidi"/>
      <w:kern w:val="2"/>
      <w:sz w:val="18"/>
      <w:szCs w:val="18"/>
    </w:rPr>
  </w:style>
  <w:style w:type="character" w:customStyle="1" w:styleId="11">
    <w:name w:val="页脚 Char"/>
    <w:basedOn w:val="9"/>
    <w:link w:val="4"/>
    <w:autoRedefine/>
    <w:qFormat/>
    <w:uiPriority w:val="0"/>
    <w:rPr>
      <w:rFonts w:asciiTheme="minorHAnsi" w:hAnsiTheme="minorHAnsi" w:eastAsiaTheme="minorEastAsia" w:cstheme="minorBidi"/>
      <w:kern w:val="2"/>
      <w:sz w:val="18"/>
      <w:szCs w:val="18"/>
    </w:rPr>
  </w:style>
  <w:style w:type="character" w:customStyle="1" w:styleId="12">
    <w:name w:val="标题 Char"/>
    <w:basedOn w:val="9"/>
    <w:link w:val="7"/>
    <w:autoRedefine/>
    <w:qFormat/>
    <w:uiPriority w:val="0"/>
    <w:rPr>
      <w:rFonts w:asciiTheme="majorHAnsi" w:hAnsiTheme="majorHAnsi" w:cstheme="majorBidi"/>
      <w:b/>
      <w:bCs/>
      <w:kern w:val="2"/>
      <w:sz w:val="32"/>
      <w:szCs w:val="32"/>
    </w:rPr>
  </w:style>
  <w:style w:type="character" w:customStyle="1" w:styleId="13">
    <w:name w:val="Subtle Reference"/>
    <w:basedOn w:val="9"/>
    <w:autoRedefine/>
    <w:qFormat/>
    <w:uiPriority w:val="31"/>
    <w:rPr>
      <w:smallCaps/>
      <w:color w:val="C0504D" w:themeColor="accent2"/>
      <w:u w:val="single"/>
    </w:rPr>
  </w:style>
  <w:style w:type="character" w:customStyle="1" w:styleId="14">
    <w:name w:val="Intense Emphasis"/>
    <w:basedOn w:val="9"/>
    <w:autoRedefine/>
    <w:qFormat/>
    <w:uiPriority w:val="21"/>
    <w:rPr>
      <w:b/>
      <w:bCs/>
      <w:i/>
      <w:iCs/>
      <w:color w:val="4F81BD" w:themeColor="accent1"/>
    </w:rPr>
  </w:style>
  <w:style w:type="character" w:customStyle="1" w:styleId="15">
    <w:name w:val="Subtle Emphasis"/>
    <w:basedOn w:val="9"/>
    <w:autoRedefine/>
    <w:qFormat/>
    <w:uiPriority w:val="19"/>
    <w:rPr>
      <w:i/>
      <w:iCs/>
      <w:color w:val="7F7F7F" w:themeColor="text1" w:themeTint="7F"/>
    </w:rPr>
  </w:style>
  <w:style w:type="character" w:customStyle="1" w:styleId="16">
    <w:name w:val="标题 2 Char"/>
    <w:basedOn w:val="9"/>
    <w:link w:val="3"/>
    <w:autoRedefine/>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36972-ADF0-40AB-9769-21BDD72FD65F}">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430</Words>
  <Characters>2457</Characters>
  <Lines>20</Lines>
  <Paragraphs>5</Paragraphs>
  <TotalTime>9</TotalTime>
  <ScaleCrop>false</ScaleCrop>
  <LinksUpToDate>false</LinksUpToDate>
  <CharactersWithSpaces>2882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2024-01-15T00:59:00Z</dcterms:created>
  <dc:creator>Administrator</dc:creator>
  <cp:lastModifiedBy>liu zhigang</cp:lastModifiedBy>
  <cp:lastPrinted>2024-01-17T08:01:00Z</cp:lastPrinted>
  <dcterms:modified xsi:type="dcterms:W3CDTF">2024-01-31T01:39:12Z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B49A9C63322A4DD88E126D9511AD43BF_13</vt:lpwstr>
  </property>
</Properties>
</file>