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来安县</w:t>
      </w:r>
      <w:r>
        <w:rPr>
          <w:rFonts w:hint="eastAsia" w:ascii="方正小标宋_GBK" w:hAnsi="方正小标宋_GBK" w:eastAsia="方正小标宋_GBK" w:cs="方正小标宋_GBK"/>
          <w:b w:val="0"/>
          <w:bCs w:val="0"/>
          <w:sz w:val="44"/>
          <w:szCs w:val="44"/>
          <w:lang w:eastAsia="zh-CN"/>
        </w:rPr>
        <w:t>杨郢乡人民政府</w:t>
      </w: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年政府信息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公开工作年度报告</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caps w:val="0"/>
          <w:spacing w:val="0"/>
          <w:kern w:val="0"/>
          <w:sz w:val="32"/>
          <w:szCs w:val="32"/>
          <w:shd w:val="clear" w:fill="FFFFFF"/>
          <w:lang w:val="en-US" w:eastAsia="zh-CN"/>
        </w:rPr>
      </w:pPr>
      <w:r>
        <w:rPr>
          <w:rFonts w:hint="eastAsia" w:ascii="仿宋_GB2312" w:eastAsia="仿宋_GB2312" w:cs="仿宋_GB2312"/>
          <w:caps w:val="0"/>
          <w:spacing w:val="0"/>
          <w:kern w:val="0"/>
          <w:sz w:val="32"/>
          <w:szCs w:val="32"/>
          <w:shd w:val="clear" w:fill="FFFFFF"/>
          <w:lang w:val="en-US" w:eastAsia="zh-CN"/>
        </w:rPr>
        <w:t>本报告是根据《中华人民共和国政府信息公开条例》（国务院令 711 号）要求，由来安县杨郢乡人民政府编制。全文包括：2023年度总体情况、主动公开政府信息情况、收到和处理政府信息公开申请情况、政府信息公开行政复议行政诉讼情况、存在的主要问题及改进情况、其他需要报告的事项等6项内容。本报告中使用数据统计期限为2023年1月1日至12月31日。本报告电子版可在来安县人民政府门户网站（http://www.laian.gov.cn）政府信息公开来安县杨郢乡“政府信息公开年报”栏目下载。如有疑问，请与杨郢乡党政办联系（地址：杨郢乡综合文化站一</w:t>
      </w:r>
      <w:bookmarkStart w:id="0" w:name="_GoBack"/>
      <w:bookmarkEnd w:id="0"/>
      <w:r>
        <w:rPr>
          <w:rFonts w:hint="eastAsia" w:ascii="仿宋_GB2312" w:eastAsia="仿宋_GB2312" w:cs="仿宋_GB2312"/>
          <w:caps w:val="0"/>
          <w:spacing w:val="0"/>
          <w:kern w:val="0"/>
          <w:sz w:val="32"/>
          <w:szCs w:val="32"/>
          <w:shd w:val="clear" w:fill="FFFFFF"/>
          <w:lang w:val="en-US" w:eastAsia="zh-CN"/>
        </w:rPr>
        <w:t>楼，电话：0550-5765034，邮编：239213）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（一）主动公开方面。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caps w:val="0"/>
          <w:spacing w:val="0"/>
          <w:kern w:val="0"/>
          <w:sz w:val="32"/>
          <w:szCs w:val="32"/>
          <w:shd w:val="clear" w:fill="FFFFFF"/>
          <w:lang w:val="en-US" w:eastAsia="zh-CN"/>
        </w:rPr>
      </w:pPr>
      <w:r>
        <w:rPr>
          <w:rFonts w:hint="eastAsia" w:ascii="仿宋_GB2312" w:eastAsia="仿宋_GB2312" w:cs="仿宋_GB2312"/>
          <w:caps w:val="0"/>
          <w:color w:val="auto"/>
          <w:spacing w:val="0"/>
          <w:kern w:val="0"/>
          <w:sz w:val="32"/>
          <w:szCs w:val="32"/>
          <w:shd w:val="clear" w:fill="FFFFFF"/>
          <w:lang w:val="en-US" w:eastAsia="zh-CN"/>
        </w:rPr>
        <w:t>2</w:t>
      </w:r>
      <w:r>
        <w:rPr>
          <w:rFonts w:hint="eastAsia" w:ascii="仿宋_GB2312" w:eastAsia="仿宋_GB2312" w:cs="仿宋_GB2312"/>
          <w:caps w:val="0"/>
          <w:spacing w:val="0"/>
          <w:kern w:val="0"/>
          <w:sz w:val="32"/>
          <w:szCs w:val="32"/>
          <w:shd w:val="clear" w:fill="FFFFFF"/>
          <w:lang w:val="en-US" w:eastAsia="zh-CN"/>
        </w:rPr>
        <w:t>023年，杨郢乡贯彻落实《中华人民共和国政府信息公开条例》，准确把握《中华人民共和国政府信息公开条例》基本原则，及时更新发布政务信息，依托来安县政府门户网政府信息公开专栏，主动面向社会公开信息173条；全面推进“基层政务公开标准化规范化”专题发布政府信息59条；乡镇本级栏目发布政府信息114条；乡镇本级栏目中公开决策公开类信息5条、管理和服务类信息54条、政策解读类信息2条、执行和结果类12条、回应关切类3条、监督保障类2条、其他信息36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（二）依申请公开方面。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caps w:val="0"/>
          <w:spacing w:val="0"/>
          <w:kern w:val="0"/>
          <w:sz w:val="32"/>
          <w:szCs w:val="32"/>
          <w:shd w:val="clear" w:fill="FFFFFF"/>
          <w:lang w:val="en-US" w:eastAsia="zh-CN"/>
        </w:rPr>
      </w:pPr>
      <w:r>
        <w:rPr>
          <w:rFonts w:hint="eastAsia" w:ascii="仿宋_GB2312" w:eastAsia="仿宋_GB2312" w:cs="仿宋_GB2312"/>
          <w:caps w:val="0"/>
          <w:spacing w:val="0"/>
          <w:kern w:val="0"/>
          <w:sz w:val="32"/>
          <w:szCs w:val="32"/>
          <w:shd w:val="clear" w:fill="FFFFFF"/>
          <w:lang w:val="en-US" w:eastAsia="zh-CN"/>
        </w:rPr>
        <w:t>杨郢乡严格按照《中华人民共和国政府信息公开条例》的要求，针对依申请公开工作面临的新形势、新情况，加强工作研究和经验总结，及时更新政府信息公开指南，拓展依申请公开受理渠道，公民、法人或其他组织可通过政府信息公开平台、电话、信函、政务服务窗口等方式提出政府信息公开申请。2023年度，全乡共接收政府信息依申请公开0件，其中自然人0件。予以公开（部分公开）0件。本年度接收行政复议0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caps w:val="0"/>
          <w:spacing w:val="0"/>
          <w:kern w:val="0"/>
          <w:sz w:val="32"/>
          <w:szCs w:val="32"/>
          <w:shd w:val="clear" w:fill="FFFFFF"/>
          <w:lang w:val="en-US" w:eastAsia="zh-CN"/>
        </w:rPr>
      </w:pPr>
      <w:r>
        <w:rPr>
          <w:rFonts w:hint="eastAsia" w:ascii="仿宋_GB2312" w:eastAsia="仿宋_GB2312" w:cs="仿宋_GB2312"/>
          <w:caps w:val="0"/>
          <w:spacing w:val="0"/>
          <w:kern w:val="0"/>
          <w:sz w:val="32"/>
          <w:szCs w:val="32"/>
          <w:shd w:val="clear" w:fill="FFFFFF"/>
          <w:lang w:val="en-US" w:eastAsia="zh-CN"/>
        </w:rPr>
        <w:t>1.加强政务公开规范化、标准化建设。杨郢乡严格按照上级要求，在“规范化标准化”专区，先后规范发布义务教育、户籍管理、社会救助、社会保险等规范化标准化信息59条。并明确政务公开分管负责人及具体业务经办人，确定各栏目信息管理负责人24人，网站平台信息管理员1人。建立党政办统筹，各办站所协助的政务公开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caps w:val="0"/>
          <w:spacing w:val="0"/>
          <w:kern w:val="0"/>
          <w:sz w:val="32"/>
          <w:szCs w:val="32"/>
          <w:shd w:val="clear" w:fill="FFFFFF"/>
          <w:lang w:val="en-US" w:eastAsia="zh-CN"/>
        </w:rPr>
      </w:pPr>
      <w:r>
        <w:rPr>
          <w:rFonts w:hint="eastAsia" w:ascii="仿宋_GB2312" w:eastAsia="仿宋_GB2312" w:cs="仿宋_GB2312"/>
          <w:caps w:val="0"/>
          <w:spacing w:val="0"/>
          <w:kern w:val="0"/>
          <w:sz w:val="32"/>
          <w:szCs w:val="32"/>
          <w:shd w:val="clear" w:fill="FFFFFF"/>
          <w:lang w:val="en-US" w:eastAsia="zh-CN"/>
        </w:rPr>
        <w:t>2.规范信息审核发布。杨郢乡先后开展隐私排查3次，累计整改信息20余条。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方正楷体_GB2312" w:hAnsi="方正楷体_GB2312" w:eastAsia="方正楷体_GB2312" w:cs="方正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（四）政府信息公开平台建设方面。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HAnsi"/>
          <w:caps w:val="0"/>
          <w:spacing w:val="0"/>
          <w:kern w:val="0"/>
          <w:sz w:val="32"/>
          <w:szCs w:val="32"/>
          <w:shd w:val="clear" w:fill="FFFFFF"/>
          <w:lang w:val="en-US" w:eastAsia="zh-CN" w:bidi="ar"/>
        </w:rPr>
      </w:pPr>
      <w:r>
        <w:rPr>
          <w:rFonts w:hint="eastAsia" w:ascii="仿宋_GB2312" w:eastAsia="仿宋_GB2312" w:cs="仿宋_GB2312" w:hAnsiTheme="minorHAnsi"/>
          <w:caps w:val="0"/>
          <w:spacing w:val="0"/>
          <w:kern w:val="0"/>
          <w:sz w:val="32"/>
          <w:szCs w:val="32"/>
          <w:shd w:val="clear" w:fill="FFFFFF"/>
          <w:lang w:val="en-US" w:eastAsia="zh-CN" w:bidi="ar"/>
        </w:rPr>
        <w:t>优化政府信息公开栏目建设，并采用线上线下多种形式结合的方式宣传政务公开平台，利用微信、QQ等网络媒体，及时进行信息公开。对乡政务公开专区进行升级改造，在乡政务服务大厅设立了政务公开政策咨询服务台、政务公开触屏电脑等硬件方便广大群众前来咨询最新政策文件，我乡积极利用乡村公示栏，及时公开更新政务信息为群众提供政策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（五）监督保障方面。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1.工作考核方面。</w:t>
      </w:r>
      <w:r>
        <w:rPr>
          <w:rFonts w:hint="eastAsia" w:ascii="仿宋_GB2312" w:eastAsia="仿宋_GB2312" w:cs="仿宋_GB2312"/>
          <w:caps w:val="0"/>
          <w:spacing w:val="0"/>
          <w:kern w:val="0"/>
          <w:sz w:val="32"/>
          <w:szCs w:val="32"/>
          <w:shd w:val="clear" w:fill="FFFFFF"/>
          <w:lang w:val="en-US" w:eastAsia="zh-CN"/>
        </w:rPr>
        <w:t>杨郢乡</w:t>
      </w:r>
      <w:r>
        <w:rPr>
          <w:rFonts w:hint="eastAsia" w:ascii="仿宋_GB2312" w:hAnsi="仿宋_GB2312" w:eastAsia="仿宋_GB2312" w:cs="仿宋_GB2312"/>
          <w:i w:val="0"/>
          <w:caps w:val="0"/>
          <w:color w:val="000000"/>
          <w:spacing w:val="0"/>
          <w:sz w:val="32"/>
          <w:szCs w:val="32"/>
          <w:shd w:val="clear" w:color="auto" w:fill="FFFFFF"/>
          <w:lang w:val="en-US" w:eastAsia="zh-CN"/>
        </w:rPr>
        <w:t>建立健全政府信息公开工作责任机制，将考核结果计入年度目标管理绩效考核和年度目标责任制综合考核内容。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2.社会评议方面。</w:t>
      </w:r>
      <w:r>
        <w:rPr>
          <w:rFonts w:hint="eastAsia" w:ascii="仿宋_GB2312" w:hAnsi="仿宋_GB2312" w:eastAsia="仿宋_GB2312" w:cs="仿宋_GB2312"/>
          <w:i w:val="0"/>
          <w:caps w:val="0"/>
          <w:color w:val="000000"/>
          <w:spacing w:val="0"/>
          <w:sz w:val="32"/>
          <w:szCs w:val="32"/>
          <w:shd w:val="clear" w:color="auto" w:fill="FFFFFF"/>
          <w:lang w:val="en-US" w:eastAsia="zh-CN"/>
        </w:rPr>
        <w:t>主动接受县政府与社会各界的监督，对发现的问题做到一经发现及时整改。主动听取社会评议，全面提高政务公开质量。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3.责任追究结果情况。</w:t>
      </w:r>
      <w:r>
        <w:rPr>
          <w:rFonts w:hint="eastAsia" w:ascii="仿宋_GB2312" w:hAnsi="仿宋_GB2312" w:eastAsia="仿宋_GB2312" w:cs="仿宋_GB2312"/>
          <w:i w:val="0"/>
          <w:caps w:val="0"/>
          <w:color w:val="000000"/>
          <w:spacing w:val="0"/>
          <w:sz w:val="32"/>
          <w:szCs w:val="32"/>
          <w:shd w:val="clear" w:color="auto" w:fill="FFFFFF"/>
          <w:lang w:val="en-US" w:eastAsia="zh-CN"/>
        </w:rPr>
        <w:t>2023年度，</w:t>
      </w:r>
      <w:r>
        <w:rPr>
          <w:rFonts w:hint="eastAsia" w:ascii="仿宋_GB2312" w:eastAsia="仿宋_GB2312" w:cs="仿宋_GB2312"/>
          <w:caps w:val="0"/>
          <w:spacing w:val="0"/>
          <w:kern w:val="0"/>
          <w:sz w:val="32"/>
          <w:szCs w:val="32"/>
          <w:shd w:val="clear" w:fill="FFFFFF"/>
          <w:lang w:val="en-US" w:eastAsia="zh-CN"/>
        </w:rPr>
        <w:t>杨郢乡</w:t>
      </w:r>
      <w:r>
        <w:rPr>
          <w:rFonts w:hint="eastAsia" w:ascii="仿宋_GB2312" w:hAnsi="仿宋_GB2312" w:eastAsia="仿宋_GB2312" w:cs="仿宋_GB2312"/>
          <w:i w:val="0"/>
          <w:caps w:val="0"/>
          <w:color w:val="000000"/>
          <w:spacing w:val="0"/>
          <w:sz w:val="32"/>
          <w:szCs w:val="32"/>
          <w:shd w:val="clear" w:color="auto" w:fill="FFFFFF"/>
          <w:lang w:val="en-US" w:eastAsia="zh-CN"/>
        </w:rPr>
        <w:t>无重大信息公开责任追究情况。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7"/>
        <w:tblW w:w="8236" w:type="dxa"/>
        <w:jc w:val="center"/>
        <w:shd w:val="clear" w:color="auto" w:fill="FFFFFF"/>
        <w:tblLayout w:type="fixed"/>
        <w:tblCellMar>
          <w:top w:w="0" w:type="dxa"/>
          <w:left w:w="0" w:type="dxa"/>
          <w:bottom w:w="0" w:type="dxa"/>
          <w:right w:w="0" w:type="dxa"/>
        </w:tblCellMar>
      </w:tblPr>
      <w:tblGrid>
        <w:gridCol w:w="3113"/>
        <w:gridCol w:w="1719"/>
        <w:gridCol w:w="246"/>
        <w:gridCol w:w="1181"/>
        <w:gridCol w:w="96"/>
        <w:gridCol w:w="1785"/>
        <w:gridCol w:w="96"/>
      </w:tblGrid>
      <w:tr>
        <w:tblPrEx>
          <w:shd w:val="clear" w:color="auto" w:fill="FFFFFF"/>
          <w:tblCellMar>
            <w:top w:w="0" w:type="dxa"/>
            <w:left w:w="0" w:type="dxa"/>
            <w:bottom w:w="0" w:type="dxa"/>
            <w:right w:w="0" w:type="dxa"/>
          </w:tblCellMar>
        </w:tblPrEx>
        <w:trPr>
          <w:gridAfter w:val="1"/>
          <w:wAfter w:w="96" w:type="dxa"/>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第二十条第（一）项</w:t>
            </w:r>
          </w:p>
        </w:tc>
      </w:tr>
      <w:tr>
        <w:tblPrEx>
          <w:tblCellMar>
            <w:top w:w="0" w:type="dxa"/>
            <w:left w:w="0" w:type="dxa"/>
            <w:bottom w:w="0" w:type="dxa"/>
            <w:right w:w="0" w:type="dxa"/>
          </w:tblCellMar>
        </w:tblPrEx>
        <w:trPr>
          <w:gridAfter w:val="1"/>
          <w:wAfter w:w="96" w:type="dxa"/>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本年制</w:t>
            </w:r>
            <w:r>
              <w:rPr>
                <w:rFonts w:hint="eastAsia" w:ascii="宋体" w:hAnsi="宋体" w:cs="宋体"/>
                <w:i w:val="0"/>
                <w:caps w:val="0"/>
                <w:color w:val="auto"/>
                <w:spacing w:val="0"/>
                <w:sz w:val="20"/>
                <w:szCs w:val="20"/>
                <w:lang w:val="en-US" w:eastAsia="zh-CN"/>
              </w:rPr>
              <w:t>发件数</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w:t>
            </w:r>
            <w:r>
              <w:rPr>
                <w:rFonts w:hint="eastAsia" w:ascii="宋体" w:hAnsi="宋体" w:cs="宋体"/>
                <w:i w:val="0"/>
                <w:caps w:val="0"/>
                <w:color w:val="auto"/>
                <w:spacing w:val="0"/>
                <w:sz w:val="20"/>
                <w:szCs w:val="20"/>
                <w:lang w:val="en-US" w:eastAsia="zh-CN"/>
              </w:rPr>
              <w:t>废止件数</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cs="Calibri"/>
                <w:color w:val="auto"/>
                <w:sz w:val="21"/>
                <w:szCs w:val="21"/>
                <w:lang w:val="en-US" w:eastAsia="zh-CN"/>
              </w:rPr>
            </w:pPr>
            <w:r>
              <w:rPr>
                <w:rFonts w:hint="eastAsia" w:cs="Calibri"/>
                <w:color w:val="auto"/>
                <w:sz w:val="21"/>
                <w:szCs w:val="21"/>
                <w:lang w:val="en-US" w:eastAsia="zh-CN"/>
              </w:rPr>
              <w:t>现行有效件数</w:t>
            </w:r>
          </w:p>
        </w:tc>
      </w:tr>
      <w:tr>
        <w:tblPrEx>
          <w:tblCellMar>
            <w:top w:w="0" w:type="dxa"/>
            <w:left w:w="0" w:type="dxa"/>
            <w:bottom w:w="0" w:type="dxa"/>
            <w:right w:w="0" w:type="dxa"/>
          </w:tblCellMar>
        </w:tblPrEx>
        <w:trPr>
          <w:gridAfter w:val="1"/>
          <w:wAfter w:w="96" w:type="dxa"/>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规章</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r>
      <w:tr>
        <w:tblPrEx>
          <w:tblCellMar>
            <w:top w:w="0" w:type="dxa"/>
            <w:left w:w="0" w:type="dxa"/>
            <w:bottom w:w="0" w:type="dxa"/>
            <w:right w:w="0" w:type="dxa"/>
          </w:tblCellMar>
        </w:tblPrEx>
        <w:trPr>
          <w:gridAfter w:val="1"/>
          <w:wAfter w:w="96" w:type="dxa"/>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cs="宋体"/>
                <w:i w:val="0"/>
                <w:caps w:val="0"/>
                <w:color w:val="auto"/>
                <w:spacing w:val="0"/>
                <w:sz w:val="20"/>
                <w:szCs w:val="20"/>
                <w:lang w:val="en-US" w:eastAsia="zh-CN"/>
              </w:rPr>
              <w:t>行政</w:t>
            </w:r>
            <w:r>
              <w:rPr>
                <w:rFonts w:hint="eastAsia" w:ascii="宋体" w:hAnsi="宋体" w:eastAsia="宋体" w:cs="宋体"/>
                <w:i w:val="0"/>
                <w:caps w:val="0"/>
                <w:color w:val="auto"/>
                <w:spacing w:val="0"/>
                <w:sz w:val="20"/>
                <w:szCs w:val="20"/>
              </w:rPr>
              <w:t>规范性文件</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第二十条第（五）项</w:t>
            </w:r>
          </w:p>
        </w:tc>
      </w:tr>
      <w:tr>
        <w:tblPrEx>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行政许可</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第二十条第（六）项</w:t>
            </w:r>
          </w:p>
        </w:tc>
      </w:tr>
      <w:tr>
        <w:tblPrEx>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行政处罚</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行政强制</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第二十条第（八）项</w:t>
            </w:r>
          </w:p>
        </w:tc>
      </w:tr>
      <w:tr>
        <w:tblPrEx>
          <w:tblCellMar>
            <w:top w:w="0" w:type="dxa"/>
            <w:left w:w="0" w:type="dxa"/>
            <w:bottom w:w="0" w:type="dxa"/>
            <w:right w:w="0" w:type="dxa"/>
          </w:tblCellMar>
        </w:tblPrEx>
        <w:trPr>
          <w:gridAfter w:val="1"/>
          <w:wAfter w:w="96" w:type="dxa"/>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本年收费金额（单位：万元）</w:t>
            </w:r>
          </w:p>
        </w:tc>
      </w:tr>
      <w:tr>
        <w:tblPrEx>
          <w:tblCellMar>
            <w:top w:w="0" w:type="dxa"/>
            <w:left w:w="0" w:type="dxa"/>
            <w:bottom w:w="0" w:type="dxa"/>
            <w:right w:w="0" w:type="dxa"/>
          </w:tblCellMar>
        </w:tblPrEx>
        <w:trPr>
          <w:gridAfter w:val="1"/>
          <w:wAfter w:w="96" w:type="dxa"/>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行政事业性收费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trHeight w:val="0" w:hRule="atLeast"/>
          <w:jc w:val="center"/>
        </w:trPr>
        <w:tc>
          <w:tcPr>
            <w:tcW w:w="3113"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719"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246"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277" w:type="dxa"/>
            <w:gridSpan w:val="2"/>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881" w:type="dxa"/>
            <w:gridSpan w:val="2"/>
            <w:tcBorders>
              <w:top w:val="nil"/>
              <w:left w:val="nil"/>
              <w:bottom w:val="nil"/>
              <w:right w:val="nil"/>
            </w:tcBorders>
            <w:shd w:val="clear" w:color="auto" w:fill="FFFFFF"/>
            <w:noWrap w:val="0"/>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i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tbl>
      <w:tblPr>
        <w:tblStyle w:val="7"/>
        <w:tblW w:w="9071" w:type="dxa"/>
        <w:jc w:val="center"/>
        <w:tblLayout w:type="autofit"/>
        <w:tblCellMar>
          <w:top w:w="0" w:type="dxa"/>
          <w:left w:w="0" w:type="dxa"/>
          <w:bottom w:w="0" w:type="dxa"/>
          <w:right w:w="0" w:type="dxa"/>
        </w:tblCellMar>
      </w:tblPr>
      <w:tblGrid>
        <w:gridCol w:w="616"/>
        <w:gridCol w:w="816"/>
        <w:gridCol w:w="2261"/>
        <w:gridCol w:w="580"/>
        <w:gridCol w:w="772"/>
        <w:gridCol w:w="772"/>
        <w:gridCol w:w="827"/>
        <w:gridCol w:w="976"/>
        <w:gridCol w:w="732"/>
        <w:gridCol w:w="719"/>
      </w:tblGrid>
      <w:tr>
        <w:tblPrEx>
          <w:tblCellMar>
            <w:top w:w="0" w:type="dxa"/>
            <w:left w:w="0" w:type="dxa"/>
            <w:bottom w:w="0" w:type="dxa"/>
            <w:right w:w="0" w:type="dxa"/>
          </w:tblCellMar>
        </w:tblPrEx>
        <w:trPr>
          <w:jc w:val="center"/>
        </w:trPr>
        <w:tc>
          <w:tcPr>
            <w:tcW w:w="3693"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（本列数据的勾稽关系为：第一项加第二项之和，等于第三项加第四项之和）</w:t>
            </w:r>
          </w:p>
        </w:tc>
        <w:tc>
          <w:tcPr>
            <w:tcW w:w="5378"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申请人情况</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自然人</w:t>
            </w:r>
          </w:p>
        </w:tc>
        <w:tc>
          <w:tcPr>
            <w:tcW w:w="4079" w:type="dxa"/>
            <w:gridSpan w:val="5"/>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法人或其他组织</w:t>
            </w:r>
          </w:p>
        </w:tc>
        <w:tc>
          <w:tcPr>
            <w:tcW w:w="719"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商业企业</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科研机构</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社会公益组织</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法律服务机构</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其他</w:t>
            </w:r>
          </w:p>
        </w:tc>
        <w:tc>
          <w:tcPr>
            <w:tcW w:w="71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一、本年新收政府信息公开申请数量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二、上年结转政府信息公开申请数量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三、本年度办理结果</w:t>
            </w: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ascii="楷体" w:hAnsi="楷体" w:eastAsia="楷体" w:cs="楷体"/>
                <w:i w:val="0"/>
                <w:caps w:val="0"/>
                <w:color w:val="auto"/>
                <w:spacing w:val="0"/>
                <w:sz w:val="20"/>
                <w:szCs w:val="20"/>
              </w:rPr>
              <w:t>（一）予以公开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tabs>
                <w:tab w:val="center" w:pos="317"/>
                <w:tab w:val="left" w:pos="461"/>
              </w:tabs>
              <w:wordWrap w:val="0"/>
              <w:spacing w:before="0" w:beforeAutospacing="0" w:after="0" w:afterAutospacing="0"/>
              <w:ind w:left="0" w:leftChars="0" w:right="0" w:rightChars="0"/>
              <w:jc w:val="left"/>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ab/>
            </w: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（二）部分公开（区分处理的，只计这一情形，不计其他情形）</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（三）不予公开</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1.属于国家秘密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2.其他法律行政法规禁止公开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3.危及“三安全一稳定”</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4.保护第三方合法权益</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5.属于三类内部事务信息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6.属于四类过程性信息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7.属于行政执法案卷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8.属于行政查询事项</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（四）无法提供</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1.本机关不掌握相关政府信息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2.没有现成信息需要另行制作</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3.补正后申请内容仍不明确</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（五）不予处理</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1.信访举报投诉类申请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3.要求提供公开出版物</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4.无正当理由大量反复申请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trHeight w:val="819"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4"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5.要求行政机关确认或重新出具已获取信息</w:t>
            </w:r>
          </w:p>
        </w:tc>
        <w:tc>
          <w:tcPr>
            <w:tcW w:w="580"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trHeight w:val="1106"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（六）其他处理</w:t>
            </w: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1.</w:t>
            </w:r>
            <w:r>
              <w:rPr>
                <w:rFonts w:hint="eastAsia" w:ascii="楷体" w:hAnsi="楷体" w:eastAsia="楷体" w:cs="楷体"/>
                <w:i w:val="0"/>
                <w:caps w:val="0"/>
                <w:color w:val="auto"/>
                <w:spacing w:val="0"/>
                <w:sz w:val="20"/>
                <w:szCs w:val="20"/>
              </w:rPr>
              <w:t>申请人无正当理由逾期不补正、行政机关不再处理其政府信息公开申请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trHeight w:val="1106"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2.</w:t>
            </w:r>
            <w:r>
              <w:rPr>
                <w:rFonts w:hint="eastAsia" w:ascii="楷体" w:hAnsi="楷体" w:eastAsia="楷体" w:cs="楷体"/>
                <w:i w:val="0"/>
                <w:caps w:val="0"/>
                <w:color w:val="auto"/>
                <w:spacing w:val="0"/>
                <w:sz w:val="20"/>
                <w:szCs w:val="20"/>
              </w:rPr>
              <w:t>申请人逾期未按收费通知要求缴纳费用、行政机关不再处理其政府信息公开申请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312" w:hRule="atLeast"/>
          <w:jc w:val="center"/>
        </w:trPr>
        <w:tc>
          <w:tcPr>
            <w:tcW w:w="616" w:type="dxa"/>
            <w:vMerge w:val="continue"/>
            <w:tcBorders>
              <w:left w:val="single" w:color="auto" w:sz="8" w:space="0"/>
              <w:bottom w:val="single" w:color="auto" w:sz="8"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r>
              <w:rPr>
                <w:rFonts w:hint="eastAsia" w:ascii="楷体" w:hAnsi="楷体" w:eastAsia="楷体" w:cs="楷体"/>
                <w:i w:val="0"/>
                <w:caps w:val="0"/>
                <w:color w:val="auto"/>
                <w:spacing w:val="0"/>
                <w:sz w:val="20"/>
                <w:szCs w:val="20"/>
              </w:rPr>
              <w:t>3.其他</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447" w:hRule="atLeas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（七）总计</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四、结转下年度继续办理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200" w:firstLineChars="0"/>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政府信息公开行政复议、行政诉讼情况</w:t>
      </w:r>
    </w:p>
    <w:tbl>
      <w:tblPr>
        <w:tblStyle w:val="7"/>
        <w:tblW w:w="9071" w:type="dxa"/>
        <w:jc w:val="center"/>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FFFFFF"/>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58"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2970"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未经复议直接起诉</w:t>
            </w:r>
          </w:p>
        </w:tc>
        <w:tc>
          <w:tcPr>
            <w:tcW w:w="3027"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58"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trHeight w:val="587" w:hRule="atLeast"/>
          <w:jc w:val="center"/>
        </w:trPr>
        <w:tc>
          <w:tcPr>
            <w:tcW w:w="60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五、存在的主要问题及改进措施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caps w:val="0"/>
          <w:color w:val="000000"/>
          <w:spacing w:val="0"/>
          <w:kern w:val="0"/>
          <w:sz w:val="32"/>
          <w:szCs w:val="32"/>
        </w:rPr>
      </w:pPr>
      <w:r>
        <w:rPr>
          <w:rFonts w:hint="eastAsia" w:ascii="仿宋_GB2312" w:hAnsi="宋体" w:eastAsia="仿宋_GB2312" w:cs="仿宋_GB2312"/>
          <w:i w:val="0"/>
          <w:caps w:val="0"/>
          <w:color w:val="000000"/>
          <w:spacing w:val="0"/>
          <w:kern w:val="0"/>
          <w:sz w:val="32"/>
          <w:szCs w:val="32"/>
        </w:rPr>
        <w:t>在</w:t>
      </w:r>
      <w:r>
        <w:rPr>
          <w:rFonts w:hint="eastAsia" w:ascii="仿宋_GB2312" w:hAnsi="宋体" w:eastAsia="仿宋_GB2312" w:cs="仿宋_GB2312"/>
          <w:i w:val="0"/>
          <w:caps w:val="0"/>
          <w:color w:val="000000"/>
          <w:spacing w:val="0"/>
          <w:kern w:val="0"/>
          <w:sz w:val="32"/>
          <w:szCs w:val="32"/>
          <w:lang w:eastAsia="zh-CN"/>
        </w:rPr>
        <w:t>202</w:t>
      </w:r>
      <w:r>
        <w:rPr>
          <w:rFonts w:hint="eastAsia" w:ascii="仿宋_GB2312" w:hAnsi="宋体" w:eastAsia="仿宋_GB2312" w:cs="仿宋_GB2312"/>
          <w:i w:val="0"/>
          <w:caps w:val="0"/>
          <w:color w:val="000000"/>
          <w:spacing w:val="0"/>
          <w:kern w:val="0"/>
          <w:sz w:val="32"/>
          <w:szCs w:val="32"/>
          <w:lang w:val="en-US" w:eastAsia="zh-CN"/>
        </w:rPr>
        <w:t>3</w:t>
      </w:r>
      <w:r>
        <w:rPr>
          <w:rFonts w:hint="eastAsia" w:ascii="仿宋_GB2312" w:hAnsi="宋体" w:eastAsia="仿宋_GB2312" w:cs="仿宋_GB2312"/>
          <w:i w:val="0"/>
          <w:caps w:val="0"/>
          <w:color w:val="000000"/>
          <w:spacing w:val="0"/>
          <w:kern w:val="0"/>
          <w:sz w:val="32"/>
          <w:szCs w:val="32"/>
        </w:rPr>
        <w:t>年的政府信息公开过程中，</w:t>
      </w:r>
      <w:r>
        <w:rPr>
          <w:rFonts w:hint="eastAsia" w:ascii="仿宋_GB2312" w:eastAsia="仿宋_GB2312" w:cs="仿宋_GB2312"/>
          <w:caps w:val="0"/>
          <w:spacing w:val="0"/>
          <w:kern w:val="0"/>
          <w:sz w:val="32"/>
          <w:szCs w:val="32"/>
          <w:shd w:val="clear" w:fill="FFFFFF"/>
          <w:lang w:val="en-US" w:eastAsia="zh-CN"/>
        </w:rPr>
        <w:t>杨郢乡</w:t>
      </w:r>
      <w:r>
        <w:rPr>
          <w:rFonts w:hint="eastAsia" w:ascii="仿宋_GB2312" w:hAnsi="宋体" w:eastAsia="仿宋_GB2312" w:cs="仿宋_GB2312"/>
          <w:i w:val="0"/>
          <w:caps w:val="0"/>
          <w:color w:val="000000"/>
          <w:spacing w:val="0"/>
          <w:kern w:val="0"/>
          <w:sz w:val="32"/>
          <w:szCs w:val="32"/>
          <w:lang w:eastAsia="zh-CN"/>
        </w:rPr>
        <w:t>按照</w:t>
      </w:r>
      <w:r>
        <w:rPr>
          <w:rFonts w:hint="eastAsia" w:ascii="仿宋_GB2312" w:hAnsi="宋体" w:eastAsia="仿宋_GB2312" w:cs="仿宋_GB2312"/>
          <w:i w:val="0"/>
          <w:caps w:val="0"/>
          <w:color w:val="000000"/>
          <w:spacing w:val="0"/>
          <w:kern w:val="0"/>
          <w:sz w:val="32"/>
          <w:szCs w:val="32"/>
        </w:rPr>
        <w:t>《中华人民共和国政府信息公开条例》</w:t>
      </w:r>
      <w:r>
        <w:rPr>
          <w:rFonts w:hint="eastAsia" w:ascii="仿宋_GB2312" w:hAnsi="宋体" w:eastAsia="仿宋_GB2312" w:cs="仿宋_GB2312"/>
          <w:i w:val="0"/>
          <w:caps w:val="0"/>
          <w:color w:val="000000"/>
          <w:spacing w:val="0"/>
          <w:kern w:val="0"/>
          <w:sz w:val="32"/>
          <w:szCs w:val="32"/>
          <w:lang w:eastAsia="zh-CN"/>
        </w:rPr>
        <w:t>要求对各个栏目进行相关数据的梳理并公开，但依然存在一些问题，</w:t>
      </w:r>
      <w:r>
        <w:rPr>
          <w:rFonts w:hint="eastAsia" w:ascii="仿宋_GB2312" w:hAnsi="宋体" w:eastAsia="仿宋_GB2312" w:cs="仿宋_GB2312"/>
          <w:i w:val="0"/>
          <w:caps w:val="0"/>
          <w:color w:val="000000"/>
          <w:spacing w:val="0"/>
          <w:kern w:val="0"/>
          <w:sz w:val="32"/>
          <w:szCs w:val="32"/>
        </w:rPr>
        <w:t>主要包括：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sz w:val="32"/>
          <w:szCs w:val="32"/>
          <w:lang w:eastAsia="zh-CN"/>
        </w:rPr>
      </w:pPr>
      <w:r>
        <w:rPr>
          <w:rFonts w:hint="eastAsia" w:ascii="仿宋_GB2312" w:hAnsi="宋体" w:eastAsia="仿宋_GB2312" w:cs="仿宋_GB2312"/>
          <w:b/>
          <w:bCs/>
          <w:i w:val="0"/>
          <w:caps w:val="0"/>
          <w:color w:val="000000"/>
          <w:spacing w:val="0"/>
          <w:kern w:val="0"/>
          <w:sz w:val="32"/>
          <w:szCs w:val="32"/>
        </w:rPr>
        <w:t>一是</w:t>
      </w:r>
      <w:r>
        <w:rPr>
          <w:rFonts w:hint="eastAsia" w:ascii="仿宋_GB2312" w:hAnsi="宋体" w:eastAsia="仿宋_GB2312" w:cs="仿宋_GB2312"/>
          <w:b/>
          <w:bCs/>
          <w:i w:val="0"/>
          <w:caps w:val="0"/>
          <w:color w:val="000000"/>
          <w:spacing w:val="0"/>
          <w:kern w:val="0"/>
          <w:sz w:val="32"/>
          <w:szCs w:val="32"/>
          <w:lang w:eastAsia="zh-CN"/>
        </w:rPr>
        <w:t>部分信息发布不完整。</w:t>
      </w:r>
      <w:r>
        <w:rPr>
          <w:rFonts w:hint="eastAsia" w:ascii="仿宋_GB2312" w:hAnsi="宋体" w:eastAsia="仿宋_GB2312" w:cs="仿宋_GB2312"/>
          <w:i w:val="0"/>
          <w:caps w:val="0"/>
          <w:color w:val="000000"/>
          <w:spacing w:val="0"/>
          <w:kern w:val="0"/>
          <w:sz w:val="32"/>
          <w:szCs w:val="32"/>
          <w:lang w:eastAsia="zh-CN"/>
        </w:rPr>
        <w:t>由于部分信息负责人岗位调整，新调整的信息负责人员对本部门业务还不够熟悉，难以及时提供高质量的公开政务信息，导致政务公开内容略显简略，缺乏详细的数据和解释。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i w:val="0"/>
          <w:caps w:val="0"/>
          <w:color w:val="000000"/>
          <w:spacing w:val="0"/>
          <w:kern w:val="0"/>
          <w:sz w:val="32"/>
          <w:szCs w:val="32"/>
          <w:lang w:eastAsia="zh-CN"/>
        </w:rPr>
      </w:pPr>
      <w:r>
        <w:rPr>
          <w:rFonts w:hint="eastAsia" w:ascii="仿宋_GB2312" w:hAnsi="宋体" w:eastAsia="仿宋_GB2312" w:cs="仿宋_GB2312"/>
          <w:b/>
          <w:bCs/>
          <w:i w:val="0"/>
          <w:caps w:val="0"/>
          <w:color w:val="000000"/>
          <w:spacing w:val="0"/>
          <w:kern w:val="0"/>
          <w:sz w:val="32"/>
          <w:szCs w:val="32"/>
          <w:lang w:eastAsia="zh-CN"/>
        </w:rPr>
        <w:t>二是信息发布不及时。</w:t>
      </w:r>
      <w:r>
        <w:rPr>
          <w:rFonts w:hint="eastAsia" w:ascii="仿宋_GB2312" w:hAnsi="宋体" w:eastAsia="仿宋_GB2312" w:cs="仿宋_GB2312"/>
          <w:i w:val="0"/>
          <w:caps w:val="0"/>
          <w:color w:val="000000"/>
          <w:spacing w:val="0"/>
          <w:kern w:val="0"/>
          <w:sz w:val="32"/>
          <w:szCs w:val="32"/>
          <w:lang w:eastAsia="zh-CN"/>
        </w:rPr>
        <w:t>政府信息公开工作具有时效性，部分部门负责公开栏目较多、人员外出培训学习、休假等特殊情况下，难以及时提供相关公开信息，导致部分信息发布不及时，公众无法获取部分最新的信息。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仿宋_GB2312" w:hAnsi="宋体" w:eastAsia="仿宋_GB2312" w:cs="仿宋_GB2312"/>
          <w:b/>
          <w:bCs/>
          <w:i w:val="0"/>
          <w:caps w:val="0"/>
          <w:color w:val="000000"/>
          <w:spacing w:val="0"/>
          <w:kern w:val="0"/>
          <w:sz w:val="32"/>
          <w:szCs w:val="32"/>
          <w:lang w:eastAsia="zh-CN"/>
        </w:rPr>
        <w:t>三是政务公开信息数量相对不高。</w:t>
      </w:r>
      <w:r>
        <w:rPr>
          <w:rFonts w:hint="eastAsia" w:ascii="仿宋_GB2312" w:hAnsi="宋体" w:eastAsia="仿宋_GB2312" w:cs="仿宋_GB2312"/>
          <w:i w:val="0"/>
          <w:caps w:val="0"/>
          <w:color w:val="000000"/>
          <w:spacing w:val="0"/>
          <w:kern w:val="0"/>
          <w:sz w:val="32"/>
          <w:szCs w:val="32"/>
          <w:lang w:val="en-US" w:eastAsia="zh-CN"/>
        </w:rPr>
        <w:t>2023年，杨郢乡政务公开信息数仅有173条，较</w:t>
      </w:r>
      <w:r>
        <w:rPr>
          <w:rFonts w:hint="eastAsia" w:ascii="仿宋_GB2312" w:hAnsi="宋体" w:eastAsia="仿宋_GB2312" w:cs="仿宋_GB2312"/>
          <w:i w:val="0"/>
          <w:caps w:val="0"/>
          <w:color w:val="000000"/>
          <w:spacing w:val="0"/>
          <w:kern w:val="0"/>
          <w:sz w:val="32"/>
          <w:szCs w:val="32"/>
          <w:lang w:eastAsia="zh-CN"/>
        </w:rPr>
        <w:t>比往年的政务公开数量较少，导致</w:t>
      </w:r>
      <w:r>
        <w:rPr>
          <w:rFonts w:hint="eastAsia" w:ascii="仿宋_GB2312" w:hAnsi="宋体" w:eastAsia="仿宋_GB2312" w:cs="仿宋_GB2312"/>
          <w:i w:val="0"/>
          <w:caps w:val="0"/>
          <w:color w:val="000000"/>
          <w:spacing w:val="0"/>
          <w:kern w:val="0"/>
          <w:sz w:val="32"/>
          <w:szCs w:val="32"/>
        </w:rPr>
        <w:t>政务公开的内容</w:t>
      </w:r>
      <w:r>
        <w:rPr>
          <w:rFonts w:hint="eastAsia" w:ascii="仿宋_GB2312" w:hAnsi="宋体" w:eastAsia="仿宋_GB2312" w:cs="仿宋_GB2312"/>
          <w:i w:val="0"/>
          <w:caps w:val="0"/>
          <w:color w:val="000000"/>
          <w:spacing w:val="0"/>
          <w:kern w:val="0"/>
          <w:sz w:val="32"/>
          <w:szCs w:val="32"/>
          <w:lang w:eastAsia="zh-CN"/>
        </w:rPr>
        <w:t>不够全面，</w:t>
      </w:r>
      <w:r>
        <w:rPr>
          <w:rFonts w:hint="eastAsia" w:ascii="仿宋_GB2312" w:hAnsi="宋体" w:eastAsia="仿宋_GB2312" w:cs="仿宋_GB2312"/>
          <w:i w:val="0"/>
          <w:caps w:val="0"/>
          <w:color w:val="000000"/>
          <w:spacing w:val="0"/>
          <w:kern w:val="0"/>
          <w:sz w:val="32"/>
          <w:szCs w:val="32"/>
        </w:rPr>
        <w:t>相</w:t>
      </w:r>
      <w:r>
        <w:rPr>
          <w:rFonts w:hint="eastAsia" w:ascii="仿宋_GB2312" w:hAnsi="宋体" w:eastAsia="仿宋_GB2312" w:cs="仿宋_GB2312"/>
          <w:i w:val="0"/>
          <w:caps w:val="0"/>
          <w:color w:val="000000"/>
          <w:spacing w:val="0"/>
          <w:kern w:val="0"/>
          <w:sz w:val="32"/>
          <w:szCs w:val="32"/>
          <w:lang w:eastAsia="zh-CN"/>
        </w:rPr>
        <w:t>比往年</w:t>
      </w:r>
      <w:r>
        <w:rPr>
          <w:rFonts w:hint="eastAsia" w:ascii="仿宋_GB2312" w:hAnsi="宋体" w:eastAsia="仿宋_GB2312" w:cs="仿宋_GB2312"/>
          <w:i w:val="0"/>
          <w:caps w:val="0"/>
          <w:color w:val="000000"/>
          <w:spacing w:val="0"/>
          <w:kern w:val="0"/>
          <w:sz w:val="32"/>
          <w:szCs w:val="32"/>
        </w:rPr>
        <w:t>不够丰富</w:t>
      </w:r>
      <w:r>
        <w:rPr>
          <w:rFonts w:hint="eastAsia" w:ascii="仿宋_GB2312" w:hAnsi="宋体" w:eastAsia="仿宋_GB2312" w:cs="仿宋_GB2312"/>
          <w:i w:val="0"/>
          <w:caps w:val="0"/>
          <w:color w:val="000000"/>
          <w:spacing w:val="0"/>
          <w:kern w:val="0"/>
          <w:sz w:val="32"/>
          <w:szCs w:val="32"/>
          <w:lang w:eastAsia="zh-CN"/>
        </w:rPr>
        <w:t>，政务公开质量相对不高。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s="仿宋_GB2312"/>
          <w:b w:val="0"/>
          <w:kern w:val="0"/>
          <w:sz w:val="32"/>
          <w:szCs w:val="32"/>
          <w:lang w:eastAsia="zh-CN"/>
        </w:rPr>
      </w:pPr>
      <w:r>
        <w:rPr>
          <w:rFonts w:hint="eastAsia" w:ascii="仿宋_GB2312" w:hAnsi="宋体" w:eastAsia="仿宋_GB2312" w:cs="仿宋_GB2312"/>
          <w:b/>
          <w:bCs/>
          <w:i w:val="0"/>
          <w:caps w:val="0"/>
          <w:color w:val="000000"/>
          <w:spacing w:val="0"/>
          <w:kern w:val="0"/>
          <w:sz w:val="32"/>
          <w:szCs w:val="32"/>
          <w:lang w:eastAsia="zh-CN"/>
        </w:rPr>
        <w:t>一是完善信息发布制度。</w:t>
      </w:r>
      <w:r>
        <w:rPr>
          <w:rFonts w:hint="eastAsia" w:ascii="仿宋_GB2312" w:eastAsia="仿宋_GB2312" w:cs="仿宋_GB2312"/>
          <w:b w:val="0"/>
          <w:kern w:val="0"/>
          <w:sz w:val="32"/>
          <w:szCs w:val="32"/>
          <w:lang w:val="en-US" w:eastAsia="zh-CN"/>
        </w:rPr>
        <w:t>2024年</w:t>
      </w:r>
      <w:r>
        <w:rPr>
          <w:rFonts w:hint="eastAsia" w:ascii="仿宋_GB2312" w:eastAsia="仿宋_GB2312" w:cs="仿宋_GB2312"/>
          <w:caps w:val="0"/>
          <w:spacing w:val="0"/>
          <w:kern w:val="0"/>
          <w:sz w:val="32"/>
          <w:szCs w:val="32"/>
          <w:shd w:val="clear" w:fill="FFFFFF"/>
          <w:lang w:val="en-US" w:eastAsia="zh-CN"/>
        </w:rPr>
        <w:t>杨郢乡</w:t>
      </w:r>
      <w:r>
        <w:rPr>
          <w:rFonts w:hint="eastAsia" w:ascii="仿宋_GB2312" w:eastAsia="仿宋_GB2312" w:cs="仿宋_GB2312"/>
          <w:b w:val="0"/>
          <w:kern w:val="0"/>
          <w:sz w:val="32"/>
          <w:szCs w:val="32"/>
          <w:lang w:eastAsia="zh-CN"/>
        </w:rPr>
        <w:t>将积极健全完善信息发布制度，确保信息发布的及时性、完整性、准确性。同时明确我乡各部门在信息公开中的职责和任务。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s="仿宋_GB2312"/>
          <w:b w:val="0"/>
          <w:kern w:val="0"/>
          <w:sz w:val="32"/>
          <w:szCs w:val="32"/>
          <w:lang w:eastAsia="zh-CN"/>
        </w:rPr>
      </w:pPr>
      <w:r>
        <w:rPr>
          <w:rFonts w:hint="eastAsia" w:ascii="仿宋_GB2312" w:hAnsi="宋体" w:eastAsia="仿宋_GB2312" w:cs="仿宋_GB2312"/>
          <w:b/>
          <w:bCs/>
          <w:i w:val="0"/>
          <w:caps w:val="0"/>
          <w:color w:val="000000"/>
          <w:spacing w:val="0"/>
          <w:kern w:val="0"/>
          <w:sz w:val="32"/>
          <w:szCs w:val="32"/>
          <w:lang w:eastAsia="zh-CN"/>
        </w:rPr>
        <w:t>二是进一步强化宣传和教育。</w:t>
      </w:r>
      <w:r>
        <w:rPr>
          <w:rFonts w:hint="eastAsia" w:ascii="仿宋_GB2312" w:eastAsia="仿宋_GB2312" w:cs="仿宋_GB2312"/>
          <w:caps w:val="0"/>
          <w:spacing w:val="0"/>
          <w:kern w:val="0"/>
          <w:sz w:val="32"/>
          <w:szCs w:val="32"/>
          <w:shd w:val="clear" w:fill="FFFFFF"/>
          <w:lang w:val="en-US" w:eastAsia="zh-CN"/>
        </w:rPr>
        <w:t>杨郢乡</w:t>
      </w:r>
      <w:r>
        <w:rPr>
          <w:rFonts w:hint="eastAsia" w:ascii="仿宋_GB2312" w:eastAsia="仿宋_GB2312" w:cs="仿宋_GB2312"/>
          <w:b w:val="0"/>
          <w:kern w:val="0"/>
          <w:sz w:val="32"/>
          <w:szCs w:val="32"/>
          <w:lang w:eastAsia="zh-CN"/>
        </w:rPr>
        <w:t>将在各种渠道宣传政务公开的重要性和意义，提高我乡工作人员对政务公开工作的认识和理解，同时加强对工作人员的教育和培训，提高他们对政务公开工作的重视程度和执行能力。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s="仿宋_GB2312"/>
          <w:b w:val="0"/>
          <w:kern w:val="0"/>
          <w:sz w:val="32"/>
          <w:szCs w:val="32"/>
        </w:rPr>
      </w:pPr>
      <w:r>
        <w:rPr>
          <w:rFonts w:hint="eastAsia" w:ascii="仿宋_GB2312" w:hAnsi="宋体" w:eastAsia="仿宋_GB2312" w:cs="仿宋_GB2312"/>
          <w:b/>
          <w:bCs/>
          <w:i w:val="0"/>
          <w:caps w:val="0"/>
          <w:color w:val="000000"/>
          <w:spacing w:val="0"/>
          <w:kern w:val="0"/>
          <w:sz w:val="32"/>
          <w:szCs w:val="32"/>
          <w:lang w:eastAsia="zh-CN"/>
        </w:rPr>
        <w:t>三是</w:t>
      </w:r>
      <w:r>
        <w:rPr>
          <w:rFonts w:hint="eastAsia" w:ascii="仿宋_GB2312" w:hAnsi="宋体" w:eastAsia="仿宋_GB2312" w:cs="仿宋_GB2312"/>
          <w:b/>
          <w:bCs/>
          <w:i w:val="0"/>
          <w:caps w:val="0"/>
          <w:color w:val="000000"/>
          <w:spacing w:val="0"/>
          <w:kern w:val="0"/>
          <w:sz w:val="32"/>
          <w:szCs w:val="32"/>
          <w:lang w:val="en-US" w:eastAsia="zh-CN"/>
        </w:rPr>
        <w:t>加强监督和管理。</w:t>
      </w:r>
      <w:r>
        <w:rPr>
          <w:rFonts w:hint="eastAsia" w:ascii="仿宋_GB2312" w:eastAsia="仿宋_GB2312" w:cs="仿宋_GB2312"/>
          <w:caps w:val="0"/>
          <w:spacing w:val="0"/>
          <w:kern w:val="0"/>
          <w:sz w:val="32"/>
          <w:szCs w:val="32"/>
          <w:shd w:val="clear" w:fill="FFFFFF"/>
          <w:lang w:val="en-US" w:eastAsia="zh-CN"/>
        </w:rPr>
        <w:t>杨郢乡</w:t>
      </w:r>
      <w:r>
        <w:rPr>
          <w:rFonts w:hint="eastAsia" w:ascii="仿宋_GB2312" w:eastAsia="仿宋_GB2312" w:cs="仿宋_GB2312"/>
          <w:b w:val="0"/>
          <w:kern w:val="0"/>
          <w:sz w:val="32"/>
          <w:szCs w:val="32"/>
          <w:lang w:val="en-US" w:eastAsia="zh-CN"/>
        </w:rPr>
        <w:t>将健全监督制度体系，对政务公开工作进行定期的检查和评估，确保其符合相关法律法规和政策的要求。对于违反规定的行为，应依法进行处罚并追究相关人员的责任。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黑体"/>
          <w:caps w:val="0"/>
          <w:spacing w:val="0"/>
          <w:kern w:val="0"/>
          <w:sz w:val="32"/>
          <w:szCs w:val="32"/>
          <w:shd w:val="clear" w:fill="FFFFFF"/>
          <w:lang w:val="en-US" w:eastAsia="zh-CN" w:bidi="ar"/>
        </w:rPr>
      </w:pPr>
      <w:r>
        <w:rPr>
          <w:rFonts w:hint="eastAsia" w:ascii="黑体" w:hAnsi="宋体" w:eastAsia="黑体" w:cs="黑体"/>
          <w:caps w:val="0"/>
          <w:spacing w:val="0"/>
          <w:kern w:val="0"/>
          <w:sz w:val="32"/>
          <w:szCs w:val="32"/>
          <w:shd w:val="clear" w:fill="FFFFFF"/>
          <w:lang w:val="en-US" w:eastAsia="zh-CN" w:bidi="ar"/>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b w:val="0"/>
          <w:kern w:val="0"/>
          <w:sz w:val="32"/>
          <w:szCs w:val="32"/>
          <w:lang w:eastAsia="zh-CN"/>
        </w:rPr>
      </w:pPr>
      <w:r>
        <w:rPr>
          <w:rFonts w:hint="eastAsia" w:ascii="仿宋_GB2312" w:eastAsia="仿宋_GB2312" w:cs="仿宋_GB2312"/>
          <w:b w:val="0"/>
          <w:kern w:val="0"/>
          <w:sz w:val="32"/>
          <w:szCs w:val="32"/>
          <w:lang w:eastAsia="zh-CN"/>
        </w:rPr>
        <w:t>按照《国务院办公厅关于印发〈政府信息公开信息处理费管理办法〉的通知》（国办函</w:t>
      </w:r>
      <w:r>
        <w:rPr>
          <w:rFonts w:hint="eastAsia" w:ascii="仿宋_GB2312" w:eastAsia="仿宋_GB2312" w:cs="仿宋_GB2312"/>
          <w:b w:val="0"/>
          <w:kern w:val="0"/>
          <w:sz w:val="32"/>
          <w:szCs w:val="32"/>
          <w:lang w:val="en-US" w:eastAsia="zh-CN"/>
        </w:rPr>
        <w:t>〔2020〕109</w:t>
      </w:r>
      <w:r>
        <w:rPr>
          <w:rFonts w:hint="eastAsia" w:ascii="仿宋_GB2312" w:eastAsia="仿宋_GB2312" w:cs="仿宋_GB2312"/>
          <w:b w:val="0"/>
          <w:kern w:val="0"/>
          <w:sz w:val="32"/>
          <w:szCs w:val="32"/>
          <w:lang w:eastAsia="zh-CN"/>
        </w:rPr>
        <w:t>号）规定的按件、按量收费标准，本年度没有产生信息公开处理费。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b w:val="0"/>
          <w:kern w:val="0"/>
          <w:sz w:val="32"/>
          <w:szCs w:val="32"/>
          <w:lang w:eastAsia="zh-CN"/>
        </w:rPr>
      </w:pPr>
      <w:r>
        <w:rPr>
          <w:rFonts w:hint="eastAsia" w:ascii="仿宋_GB2312" w:eastAsia="仿宋_GB2312" w:cs="仿宋_GB2312"/>
          <w:b w:val="0"/>
          <w:kern w:val="0"/>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b w:val="0"/>
          <w:kern w:val="0"/>
          <w:sz w:val="32"/>
          <w:szCs w:val="32"/>
          <w:lang w:eastAsia="zh-CN"/>
        </w:rPr>
      </w:pPr>
      <w:r>
        <w:rPr>
          <w:rFonts w:hint="eastAsia" w:ascii="仿宋_GB2312" w:eastAsia="仿宋_GB2312" w:cs="仿宋_GB2312"/>
          <w:b w:val="0"/>
          <w:kern w:val="0"/>
          <w:sz w:val="32"/>
          <w:szCs w:val="32"/>
          <w:lang w:eastAsia="zh-CN"/>
        </w:rPr>
        <w:t xml:space="preserve">                          来安县杨郢乡人民政府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b w:val="0"/>
          <w:kern w:val="0"/>
          <w:sz w:val="32"/>
          <w:szCs w:val="32"/>
          <w:lang w:eastAsia="zh-CN"/>
        </w:rPr>
      </w:pPr>
      <w:r>
        <w:rPr>
          <w:rFonts w:hint="eastAsia" w:ascii="仿宋_GB2312" w:eastAsia="仿宋_GB2312" w:cs="仿宋_GB2312"/>
          <w:b w:val="0"/>
          <w:kern w:val="0"/>
          <w:sz w:val="32"/>
          <w:szCs w:val="32"/>
          <w:lang w:val="en-US" w:eastAsia="zh-CN"/>
        </w:rPr>
        <w:t xml:space="preserve">                            2024年1月22日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mYzhmNWFkNjI0ODlmOGI3YTQ3ZGY1YTEyMDljNGUifQ=="/>
  </w:docVars>
  <w:rsids>
    <w:rsidRoot w:val="33450A04"/>
    <w:rsid w:val="0A4F2875"/>
    <w:rsid w:val="0B0A3B2F"/>
    <w:rsid w:val="323334E4"/>
    <w:rsid w:val="33450A04"/>
    <w:rsid w:val="337C47C4"/>
    <w:rsid w:val="34A2025B"/>
    <w:rsid w:val="3F99313D"/>
    <w:rsid w:val="405026F6"/>
    <w:rsid w:val="45C53DA9"/>
    <w:rsid w:val="465B470D"/>
    <w:rsid w:val="548A7A02"/>
    <w:rsid w:val="5C7D31D8"/>
    <w:rsid w:val="6C5A06B8"/>
    <w:rsid w:val="72CA3788"/>
    <w:rsid w:val="7B0F54EB"/>
    <w:rsid w:val="7BCC363D"/>
    <w:rsid w:val="7D9F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left="0" w:leftChars="0" w:firstLine="420" w:firstLineChars="200"/>
    </w:pPr>
    <w:rPr>
      <w:rFonts w:ascii="Times New Roman" w:hAnsi="Times New Roman"/>
      <w:sz w:val="24"/>
    </w:rPr>
  </w:style>
  <w:style w:type="paragraph" w:styleId="3">
    <w:name w:val="Body Text Indent"/>
    <w:basedOn w:val="1"/>
    <w:next w:val="4"/>
    <w:autoRedefine/>
    <w:qFormat/>
    <w:uiPriority w:val="0"/>
    <w:pPr>
      <w:widowControl w:val="0"/>
      <w:spacing w:after="120"/>
      <w:ind w:left="200" w:leftChars="200"/>
      <w:jc w:val="both"/>
    </w:pPr>
    <w:rPr>
      <w:kern w:val="2"/>
      <w:sz w:val="21"/>
      <w:szCs w:val="24"/>
      <w:lang w:val="en-US" w:eastAsia="zh-CN" w:bidi="ar-SA"/>
    </w:rPr>
  </w:style>
  <w:style w:type="paragraph" w:styleId="4">
    <w:name w:val="envelope return"/>
    <w:basedOn w:val="1"/>
    <w:autoRedefine/>
    <w:qFormat/>
    <w:uiPriority w:val="0"/>
    <w:pPr>
      <w:snapToGrid w:val="0"/>
    </w:pPr>
    <w:rPr>
      <w:rFonts w:ascii="Arial" w:hAnsi="Arial"/>
    </w:rPr>
  </w:style>
  <w:style w:type="paragraph" w:styleId="5">
    <w:name w:val="table of authorities"/>
    <w:basedOn w:val="1"/>
    <w:next w:val="1"/>
    <w:autoRedefine/>
    <w:semiHidden/>
    <w:qFormat/>
    <w:uiPriority w:val="99"/>
    <w:pPr>
      <w:ind w:left="420" w:leftChars="200"/>
    </w:p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2024-01-15T02:22:00Z</dcterms:created>
  <dc:creator>刘志海</dc:creator>
  <cp:lastModifiedBy>liu zhigang</cp:lastModifiedBy>
  <dcterms:modified xsi:type="dcterms:W3CDTF">2024-01-29T08:40:32Z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A69232189DA84568B6F9C2174E250F34_13</vt:lpwstr>
  </property>
</Properties>
</file>