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eastAsia" w:asciiTheme="majorEastAsia" w:hAnsiTheme="majorEastAsia" w:eastAsiaTheme="majorEastAsia" w:cstheme="majorEastAsia"/>
          <w:b/>
          <w:bCs/>
          <w:i w:val="0"/>
          <w:caps w:val="0"/>
          <w:spacing w:val="0"/>
          <w:sz w:val="44"/>
          <w:szCs w:val="44"/>
          <w:shd w:val="clear" w:fill="FFFFFF"/>
          <w:lang w:val="en-US" w:eastAsia="zh-CN"/>
        </w:rPr>
      </w:pPr>
      <w:bookmarkStart w:id="0" w:name="_GoBack"/>
      <w:r>
        <w:rPr>
          <w:rFonts w:hint="eastAsia" w:asciiTheme="majorEastAsia" w:hAnsiTheme="majorEastAsia" w:eastAsiaTheme="majorEastAsia" w:cstheme="majorEastAsia"/>
          <w:b/>
          <w:bCs/>
          <w:i w:val="0"/>
          <w:caps w:val="0"/>
          <w:spacing w:val="0"/>
          <w:sz w:val="44"/>
          <w:szCs w:val="44"/>
          <w:shd w:val="clear" w:fill="FFFFFF"/>
          <w:lang w:val="en-US" w:eastAsia="zh-CN"/>
        </w:rPr>
        <w:t>来安县投资促进局2023年政府信息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eastAsia" w:asciiTheme="majorEastAsia" w:hAnsiTheme="majorEastAsia" w:eastAsiaTheme="majorEastAsia" w:cstheme="majorEastAsia"/>
          <w:b/>
          <w:bCs/>
          <w:i w:val="0"/>
          <w:caps w:val="0"/>
          <w:spacing w:val="0"/>
          <w:sz w:val="44"/>
          <w:szCs w:val="44"/>
          <w:shd w:val="clear" w:fill="FFFFFF"/>
          <w:lang w:val="en-US" w:eastAsia="zh-CN"/>
        </w:rPr>
      </w:pPr>
      <w:r>
        <w:rPr>
          <w:rFonts w:hint="eastAsia" w:asciiTheme="majorEastAsia" w:hAnsiTheme="majorEastAsia" w:eastAsiaTheme="majorEastAsia" w:cstheme="majorEastAsia"/>
          <w:b/>
          <w:bCs/>
          <w:i w:val="0"/>
          <w:caps w:val="0"/>
          <w:spacing w:val="0"/>
          <w:sz w:val="44"/>
          <w:szCs w:val="44"/>
          <w:shd w:val="clear" w:fill="FFFFFF"/>
          <w:lang w:val="en-US" w:eastAsia="zh-CN"/>
        </w:rPr>
        <w:t>公开工作年度报告</w:t>
      </w:r>
    </w:p>
    <w:bookmarkEnd w:id="0"/>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color w:val="auto"/>
          <w:sz w:val="32"/>
          <w:szCs w:val="32"/>
        </w:rPr>
        <w:t>本报告是根据《中华人民共和国政府信息公开条例》（国务院令 711 号）要求，由</w:t>
      </w:r>
      <w:r>
        <w:rPr>
          <w:rFonts w:hint="eastAsia" w:ascii="仿宋" w:hAnsi="仿宋" w:eastAsia="仿宋" w:cs="仿宋"/>
          <w:color w:val="auto"/>
          <w:sz w:val="32"/>
          <w:szCs w:val="32"/>
          <w:lang w:val="en-US" w:eastAsia="zh-CN"/>
        </w:rPr>
        <w:t>来安县投资促进局</w:t>
      </w:r>
      <w:r>
        <w:rPr>
          <w:rFonts w:hint="eastAsia" w:ascii="仿宋" w:hAnsi="仿宋" w:eastAsia="仿宋" w:cs="仿宋"/>
          <w:color w:val="auto"/>
          <w:sz w:val="32"/>
          <w:szCs w:val="32"/>
        </w:rPr>
        <w:t>编制。全文包括：20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年度总体情况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主动公开政府信息情况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收到和处理政府信息公开申请情况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政府信息公开行政复议行政诉讼情况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存在的主要问题及改进情况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其他需要报告的事项等6项内容。本报告中使用数据统计期限为20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年1月1日至12月31日。</w:t>
      </w:r>
      <w:r>
        <w:rPr>
          <w:rFonts w:hint="eastAsia" w:ascii="仿宋" w:hAnsi="仿宋" w:eastAsia="仿宋" w:cs="仿宋"/>
          <w:i w:val="0"/>
          <w:caps w:val="0"/>
          <w:color w:val="auto"/>
          <w:spacing w:val="0"/>
          <w:sz w:val="32"/>
          <w:szCs w:val="32"/>
          <w:shd w:val="clear" w:color="auto" w:fill="FFFFFF"/>
        </w:rPr>
        <w:t>本报告电子版可在来安县</w:t>
      </w:r>
      <w:r>
        <w:rPr>
          <w:rFonts w:hint="eastAsia" w:ascii="仿宋" w:hAnsi="仿宋" w:eastAsia="仿宋" w:cs="仿宋"/>
          <w:i w:val="0"/>
          <w:caps w:val="0"/>
          <w:color w:val="auto"/>
          <w:spacing w:val="0"/>
          <w:sz w:val="32"/>
          <w:szCs w:val="32"/>
          <w:shd w:val="clear" w:color="auto" w:fill="FFFFFF"/>
          <w:lang w:val="en-US" w:eastAsia="zh-CN"/>
        </w:rPr>
        <w:t>人民政府门户网站</w:t>
      </w:r>
      <w:r>
        <w:rPr>
          <w:rFonts w:hint="eastAsia" w:ascii="仿宋" w:hAnsi="仿宋" w:eastAsia="仿宋" w:cs="仿宋"/>
          <w:color w:val="auto"/>
          <w:sz w:val="32"/>
          <w:szCs w:val="32"/>
          <w:lang w:val="en-US" w:eastAsia="zh-CN"/>
        </w:rPr>
        <w:t>（http://www.laian.gov.cn）</w:t>
      </w:r>
      <w:r>
        <w:rPr>
          <w:rFonts w:hint="eastAsia" w:ascii="仿宋" w:hAnsi="仿宋" w:eastAsia="仿宋" w:cs="仿宋"/>
          <w:i w:val="0"/>
          <w:caps w:val="0"/>
          <w:color w:val="auto"/>
          <w:spacing w:val="0"/>
          <w:sz w:val="32"/>
          <w:szCs w:val="32"/>
          <w:shd w:val="clear" w:color="auto" w:fill="FFFFFF"/>
          <w:lang w:val="en-US" w:eastAsia="zh-CN"/>
        </w:rPr>
        <w:t>来安县投资促进局“政府信息公开年报”栏目下载。</w:t>
      </w:r>
      <w:r>
        <w:rPr>
          <w:rFonts w:hint="eastAsia" w:ascii="仿宋" w:hAnsi="仿宋" w:eastAsia="仿宋" w:cs="仿宋"/>
          <w:color w:val="auto"/>
          <w:sz w:val="32"/>
          <w:szCs w:val="32"/>
        </w:rPr>
        <w:t>如对本年报有任何疑问，</w:t>
      </w:r>
      <w:r>
        <w:rPr>
          <w:rFonts w:hint="eastAsia" w:ascii="仿宋" w:hAnsi="仿宋" w:eastAsia="仿宋" w:cs="仿宋"/>
          <w:i w:val="0"/>
          <w:caps w:val="0"/>
          <w:color w:val="auto"/>
          <w:spacing w:val="0"/>
          <w:sz w:val="32"/>
          <w:szCs w:val="32"/>
          <w:shd w:val="clear" w:color="auto" w:fill="FFFFFF"/>
        </w:rPr>
        <w:t>请与</w:t>
      </w:r>
      <w:r>
        <w:rPr>
          <w:rFonts w:hint="eastAsia" w:ascii="仿宋" w:hAnsi="仿宋" w:eastAsia="仿宋" w:cs="仿宋"/>
          <w:i w:val="0"/>
          <w:caps w:val="0"/>
          <w:color w:val="auto"/>
          <w:spacing w:val="0"/>
          <w:sz w:val="32"/>
          <w:szCs w:val="32"/>
          <w:shd w:val="clear" w:color="auto" w:fill="FFFFFF"/>
          <w:lang w:val="en-US" w:eastAsia="zh-CN"/>
        </w:rPr>
        <w:t>来安县投资促进局办公室</w:t>
      </w:r>
      <w:r>
        <w:rPr>
          <w:rFonts w:hint="eastAsia" w:ascii="仿宋" w:hAnsi="仿宋" w:eastAsia="仿宋" w:cs="仿宋"/>
          <w:i w:val="0"/>
          <w:caps w:val="0"/>
          <w:color w:val="auto"/>
          <w:spacing w:val="0"/>
          <w:sz w:val="32"/>
          <w:szCs w:val="32"/>
          <w:shd w:val="clear" w:color="auto" w:fill="FFFFFF"/>
        </w:rPr>
        <w:t>联系（地址：滁州市来安县</w:t>
      </w:r>
      <w:r>
        <w:rPr>
          <w:rFonts w:hint="eastAsia" w:ascii="仿宋" w:hAnsi="仿宋" w:eastAsia="仿宋" w:cs="仿宋"/>
          <w:i w:val="0"/>
          <w:caps w:val="0"/>
          <w:color w:val="auto"/>
          <w:spacing w:val="0"/>
          <w:sz w:val="32"/>
          <w:szCs w:val="32"/>
          <w:shd w:val="clear" w:color="auto" w:fill="FFFFFF"/>
          <w:lang w:val="en-US" w:eastAsia="zh-CN"/>
        </w:rPr>
        <w:t>政务</w:t>
      </w:r>
      <w:r>
        <w:rPr>
          <w:rFonts w:hint="eastAsia" w:ascii="仿宋" w:hAnsi="仿宋" w:eastAsia="仿宋" w:cs="仿宋"/>
          <w:i w:val="0"/>
          <w:caps w:val="0"/>
          <w:color w:val="auto"/>
          <w:spacing w:val="0"/>
          <w:sz w:val="32"/>
          <w:szCs w:val="32"/>
          <w:shd w:val="clear" w:color="auto" w:fill="FFFFFF"/>
        </w:rPr>
        <w:t>服务中心</w:t>
      </w:r>
      <w:r>
        <w:rPr>
          <w:rFonts w:hint="eastAsia" w:ascii="仿宋" w:hAnsi="仿宋" w:eastAsia="仿宋" w:cs="仿宋"/>
          <w:color w:val="auto"/>
          <w:sz w:val="32"/>
          <w:szCs w:val="32"/>
          <w:lang w:val="en-US" w:eastAsia="zh-CN"/>
        </w:rPr>
        <w:t>12</w:t>
      </w:r>
      <w:r>
        <w:rPr>
          <w:rFonts w:hint="eastAsia" w:ascii="仿宋" w:hAnsi="仿宋" w:eastAsia="仿宋" w:cs="仿宋"/>
          <w:i w:val="0"/>
          <w:caps w:val="0"/>
          <w:color w:val="auto"/>
          <w:spacing w:val="0"/>
          <w:sz w:val="32"/>
          <w:szCs w:val="32"/>
          <w:shd w:val="clear" w:color="auto" w:fill="FFFFFF"/>
          <w:lang w:val="en-US" w:eastAsia="zh-CN"/>
        </w:rPr>
        <w:t>楼</w:t>
      </w:r>
      <w:r>
        <w:rPr>
          <w:rFonts w:hint="eastAsia" w:ascii="仿宋" w:hAnsi="仿宋" w:eastAsia="仿宋" w:cs="仿宋"/>
          <w:i w:val="0"/>
          <w:caps w:val="0"/>
          <w:color w:val="auto"/>
          <w:spacing w:val="0"/>
          <w:sz w:val="32"/>
          <w:szCs w:val="32"/>
          <w:shd w:val="clear" w:color="auto" w:fill="FFFFFF"/>
        </w:rPr>
        <w:t>，电话</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color w:val="auto"/>
          <w:sz w:val="32"/>
          <w:szCs w:val="32"/>
        </w:rPr>
        <w:t>0550-</w:t>
      </w:r>
      <w:r>
        <w:rPr>
          <w:rFonts w:hint="eastAsia" w:ascii="仿宋" w:hAnsi="仿宋" w:eastAsia="仿宋" w:cs="仿宋"/>
          <w:color w:val="auto"/>
          <w:sz w:val="32"/>
          <w:szCs w:val="32"/>
          <w:lang w:val="en-US" w:eastAsia="zh-CN"/>
        </w:rPr>
        <w:t>5631995</w:t>
      </w:r>
      <w:r>
        <w:rPr>
          <w:rFonts w:hint="eastAsia" w:ascii="仿宋" w:hAnsi="仿宋" w:eastAsia="仿宋" w:cs="仿宋"/>
          <w:i w:val="0"/>
          <w:caps w:val="0"/>
          <w:color w:val="auto"/>
          <w:spacing w:val="0"/>
          <w:sz w:val="32"/>
          <w:szCs w:val="32"/>
          <w:shd w:val="clear" w:color="auto" w:fill="FFFFFF"/>
        </w:rPr>
        <w:t>，邮编</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color w:val="auto"/>
          <w:sz w:val="32"/>
          <w:szCs w:val="32"/>
        </w:rPr>
        <w:t>239200</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主动公开</w:t>
      </w:r>
      <w:r>
        <w:rPr>
          <w:rFonts w:hint="eastAsia" w:ascii="方正楷体_GBK" w:hAnsi="方正楷体_GBK" w:eastAsia="方正楷体_GBK" w:cs="方正楷体_GBK"/>
          <w:color w:val="auto"/>
          <w:sz w:val="32"/>
          <w:szCs w:val="32"/>
          <w:lang w:val="en-US" w:eastAsia="zh-CN"/>
        </w:rPr>
        <w:t>方面。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2023年，我局紧扣县委县政府中心工作和中心党组重大决策部署，紧扣高质量发展这个首要任务，针对重要招商活动和招商产业政策，及时发布权威信息。2023年我局通过政府信息公开网及门户网站信息公开专栏主动公开各类信息共计58条，及时清理了政府门户网站过期、失效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eastAsia="zh-CN"/>
        </w:rPr>
        <w:t>（二）依申请公开</w:t>
      </w:r>
      <w:r>
        <w:rPr>
          <w:rFonts w:hint="eastAsia" w:ascii="方正楷体_GBK" w:hAnsi="方正楷体_GBK" w:eastAsia="方正楷体_GBK" w:cs="方正楷体_GBK"/>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2023年，来安县投资促进局严格按照《政府信息公开条例》关于依申请公开办理的各项工作要求，强化人员业务培训，增强服务理念，进一步把握受理、答复、办理程序各环节要点，确保答复准确、高效。</w:t>
      </w:r>
      <w:r>
        <w:rPr>
          <w:rFonts w:hint="eastAsia" w:ascii="仿宋" w:hAnsi="仿宋" w:eastAsia="仿宋" w:cs="仿宋"/>
          <w:i w:val="0"/>
          <w:caps w:val="0"/>
          <w:spacing w:val="0"/>
          <w:kern w:val="0"/>
          <w:sz w:val="32"/>
          <w:szCs w:val="32"/>
          <w:shd w:val="clear" w:fill="FFFFFF"/>
        </w:rPr>
        <w:t>202</w:t>
      </w:r>
      <w:r>
        <w:rPr>
          <w:rFonts w:hint="eastAsia" w:ascii="仿宋" w:hAnsi="仿宋" w:eastAsia="仿宋" w:cs="仿宋"/>
          <w:i w:val="0"/>
          <w:caps w:val="0"/>
          <w:spacing w:val="0"/>
          <w:kern w:val="0"/>
          <w:sz w:val="32"/>
          <w:szCs w:val="32"/>
          <w:shd w:val="clear" w:fill="FFFFFF"/>
          <w:lang w:val="en-US" w:eastAsia="zh-CN"/>
        </w:rPr>
        <w:t>3</w:t>
      </w:r>
      <w:r>
        <w:rPr>
          <w:rFonts w:hint="eastAsia" w:ascii="仿宋" w:hAnsi="仿宋" w:eastAsia="仿宋" w:cs="仿宋"/>
          <w:i w:val="0"/>
          <w:caps w:val="0"/>
          <w:spacing w:val="0"/>
          <w:kern w:val="0"/>
          <w:sz w:val="32"/>
          <w:szCs w:val="32"/>
          <w:shd w:val="clear" w:fill="FFFFFF"/>
        </w:rPr>
        <w:t>年，我局未收到依申请公开事项</w:t>
      </w:r>
      <w:r>
        <w:rPr>
          <w:rFonts w:hint="eastAsia" w:ascii="仿宋" w:hAnsi="仿宋" w:eastAsia="仿宋" w:cs="仿宋"/>
          <w:i w:val="0"/>
          <w:caps w:val="0"/>
          <w:spacing w:val="0"/>
          <w:kern w:val="0"/>
          <w:sz w:val="32"/>
          <w:szCs w:val="32"/>
          <w:shd w:val="clear" w:fill="FFFFFF"/>
          <w:lang w:eastAsia="zh-CN"/>
        </w:rPr>
        <w:t>。</w:t>
      </w:r>
      <w:r>
        <w:rPr>
          <w:rFonts w:hint="eastAsia" w:ascii="仿宋" w:hAnsi="仿宋" w:eastAsia="仿宋" w:cs="仿宋"/>
          <w:sz w:val="32"/>
          <w:szCs w:val="32"/>
          <w:lang w:val="en-US" w:eastAsia="zh-CN"/>
        </w:rPr>
        <w:t>未出现因依申请公开办理不规范、回复不及时等原因产生的行政复议或行政诉讼结果纠正或败诉情况。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eastAsia="zh-CN"/>
        </w:rPr>
        <w:t>（三）政府信息管理</w:t>
      </w:r>
      <w:r>
        <w:rPr>
          <w:rFonts w:hint="eastAsia" w:ascii="方正楷体_GBK" w:hAnsi="方正楷体_GBK" w:eastAsia="方正楷体_GBK" w:cs="方正楷体_GBK"/>
          <w:color w:val="auto"/>
          <w:sz w:val="32"/>
          <w:szCs w:val="32"/>
          <w:lang w:val="en-US" w:eastAsia="zh-CN"/>
        </w:rPr>
        <w:t>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caps w:val="0"/>
          <w:spacing w:val="0"/>
          <w:kern w:val="0"/>
          <w:sz w:val="32"/>
          <w:szCs w:val="32"/>
          <w:shd w:val="clear" w:fill="FFFFFF"/>
        </w:rPr>
      </w:pPr>
      <w:r>
        <w:rPr>
          <w:rFonts w:hint="eastAsia" w:ascii="仿宋" w:hAnsi="仿宋" w:eastAsia="仿宋" w:cs="仿宋"/>
          <w:i w:val="0"/>
          <w:caps w:val="0"/>
          <w:spacing w:val="0"/>
          <w:kern w:val="0"/>
          <w:sz w:val="32"/>
          <w:szCs w:val="32"/>
          <w:shd w:val="clear" w:fill="FFFFFF"/>
          <w:lang w:val="en-US" w:eastAsia="zh-CN"/>
        </w:rPr>
        <w:t>一是强化组织领导，切实抓好政务公开各项工作，成立政府信息公开领导小组，由主要负责同志担任组长，办公室负责政府信息公开日常管理工作；二是</w:t>
      </w:r>
      <w:r>
        <w:rPr>
          <w:rFonts w:hint="eastAsia" w:ascii="仿宋" w:hAnsi="仿宋" w:eastAsia="仿宋" w:cs="仿宋"/>
          <w:i w:val="0"/>
          <w:caps w:val="0"/>
          <w:spacing w:val="0"/>
          <w:kern w:val="0"/>
          <w:sz w:val="32"/>
          <w:szCs w:val="32"/>
          <w:shd w:val="clear" w:fill="FFFFFF"/>
        </w:rPr>
        <w:t>强化信息质量</w:t>
      </w:r>
      <w:r>
        <w:rPr>
          <w:rFonts w:hint="eastAsia" w:ascii="仿宋" w:hAnsi="仿宋" w:eastAsia="仿宋" w:cs="仿宋"/>
          <w:i w:val="0"/>
          <w:caps w:val="0"/>
          <w:spacing w:val="0"/>
          <w:kern w:val="0"/>
          <w:sz w:val="32"/>
          <w:szCs w:val="32"/>
          <w:shd w:val="clear" w:fill="FFFFFF"/>
          <w:lang w:eastAsia="zh-CN"/>
        </w:rPr>
        <w:t>，</w:t>
      </w:r>
      <w:r>
        <w:rPr>
          <w:rFonts w:hint="eastAsia" w:ascii="仿宋" w:hAnsi="仿宋" w:eastAsia="仿宋" w:cs="仿宋"/>
          <w:i w:val="0"/>
          <w:caps w:val="0"/>
          <w:spacing w:val="0"/>
          <w:kern w:val="0"/>
          <w:sz w:val="32"/>
          <w:szCs w:val="32"/>
          <w:shd w:val="clear" w:fill="FFFFFF"/>
        </w:rPr>
        <w:t>规范信息发布，遵循严格依法、公开公正、全面真实、及时便民的原则</w:t>
      </w:r>
      <w:r>
        <w:rPr>
          <w:rFonts w:hint="eastAsia" w:ascii="仿宋" w:hAnsi="仿宋" w:eastAsia="仿宋" w:cs="仿宋"/>
          <w:i w:val="0"/>
          <w:caps w:val="0"/>
          <w:spacing w:val="0"/>
          <w:kern w:val="0"/>
          <w:sz w:val="32"/>
          <w:szCs w:val="32"/>
          <w:shd w:val="clear" w:fill="FFFFFF"/>
          <w:lang w:eastAsia="zh-CN"/>
        </w:rPr>
        <w:t>，</w:t>
      </w:r>
      <w:r>
        <w:rPr>
          <w:rFonts w:hint="eastAsia" w:ascii="仿宋" w:hAnsi="仿宋" w:eastAsia="仿宋" w:cs="仿宋"/>
          <w:i w:val="0"/>
          <w:caps w:val="0"/>
          <w:spacing w:val="0"/>
          <w:kern w:val="0"/>
          <w:sz w:val="32"/>
          <w:szCs w:val="32"/>
          <w:shd w:val="clear" w:fill="FFFFFF"/>
        </w:rPr>
        <w:t>公开信息质量得到有效提升。</w:t>
      </w:r>
      <w:r>
        <w:rPr>
          <w:rFonts w:hint="eastAsia" w:ascii="仿宋" w:hAnsi="仿宋" w:eastAsia="仿宋" w:cs="仿宋"/>
          <w:i w:val="0"/>
          <w:caps w:val="0"/>
          <w:spacing w:val="0"/>
          <w:kern w:val="0"/>
          <w:sz w:val="32"/>
          <w:szCs w:val="32"/>
          <w:shd w:val="clear" w:fill="FFFFFF"/>
          <w:lang w:val="en-US" w:eastAsia="zh-CN"/>
        </w:rPr>
        <w:t>三</w:t>
      </w:r>
      <w:r>
        <w:rPr>
          <w:rFonts w:hint="eastAsia" w:ascii="仿宋" w:hAnsi="仿宋" w:eastAsia="仿宋" w:cs="仿宋"/>
          <w:i w:val="0"/>
          <w:caps w:val="0"/>
          <w:spacing w:val="0"/>
          <w:kern w:val="0"/>
          <w:sz w:val="32"/>
          <w:szCs w:val="32"/>
          <w:shd w:val="clear" w:fill="FFFFFF"/>
        </w:rPr>
        <w:t>是参加政府信息公开工作学习培训，强化业务学习，提高对政府信息公开工作的认识</w:t>
      </w:r>
      <w:r>
        <w:rPr>
          <w:rFonts w:hint="eastAsia" w:ascii="仿宋" w:hAnsi="仿宋" w:eastAsia="仿宋" w:cs="仿宋"/>
          <w:i w:val="0"/>
          <w:caps w:val="0"/>
          <w:spacing w:val="0"/>
          <w:kern w:val="0"/>
          <w:sz w:val="32"/>
          <w:szCs w:val="32"/>
          <w:shd w:val="clear" w:fill="FFFFFF"/>
          <w:lang w:eastAsia="zh-CN"/>
        </w:rPr>
        <w:t>。</w:t>
      </w:r>
      <w:r>
        <w:rPr>
          <w:rFonts w:hint="eastAsia" w:ascii="仿宋" w:hAnsi="仿宋" w:eastAsia="仿宋" w:cs="仿宋"/>
          <w:i w:val="0"/>
          <w:caps w:val="0"/>
          <w:spacing w:val="0"/>
          <w:kern w:val="0"/>
          <w:sz w:val="32"/>
          <w:szCs w:val="32"/>
          <w:shd w:val="clear" w:fill="FFFFFF"/>
          <w:lang w:val="en-US" w:eastAsia="zh-CN"/>
        </w:rPr>
        <w:t>四是</w:t>
      </w:r>
      <w:r>
        <w:rPr>
          <w:rFonts w:hint="eastAsia" w:ascii="仿宋" w:hAnsi="仿宋" w:eastAsia="仿宋" w:cs="仿宋"/>
          <w:i w:val="0"/>
          <w:caps w:val="0"/>
          <w:spacing w:val="0"/>
          <w:kern w:val="0"/>
          <w:sz w:val="32"/>
          <w:szCs w:val="32"/>
          <w:shd w:val="clear" w:fill="FFFFFF"/>
        </w:rPr>
        <w:t>优化信息公开办理流程，积极落实政府信息公开“三审”制度，不断提高政府信息公开工作效率。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eastAsia="zh-CN"/>
        </w:rPr>
        <w:t>（四）政府信息公开平台建设</w:t>
      </w:r>
      <w:r>
        <w:rPr>
          <w:rFonts w:hint="eastAsia" w:ascii="方正楷体_GBK" w:hAnsi="方正楷体_GBK" w:eastAsia="方正楷体_GBK" w:cs="方正楷体_GBK"/>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 w:val="0"/>
          <w:caps w:val="0"/>
          <w:spacing w:val="0"/>
          <w:kern w:val="0"/>
          <w:sz w:val="32"/>
          <w:szCs w:val="32"/>
          <w:shd w:val="clear" w:fill="FFFFFF"/>
          <w:lang w:val="en-US" w:eastAsia="zh-CN" w:bidi="ar"/>
        </w:rPr>
      </w:pPr>
      <w:r>
        <w:rPr>
          <w:rFonts w:hint="eastAsia" w:ascii="仿宋" w:hAnsi="仿宋" w:eastAsia="仿宋" w:cs="仿宋"/>
          <w:i w:val="0"/>
          <w:caps w:val="0"/>
          <w:spacing w:val="0"/>
          <w:kern w:val="0"/>
          <w:sz w:val="32"/>
          <w:szCs w:val="32"/>
          <w:shd w:val="clear" w:fill="FFFFFF"/>
          <w:lang w:val="en-US" w:eastAsia="zh-CN" w:bidi="ar"/>
        </w:rPr>
        <w:t>注重网络监测，确保政务公开信息安全。针对我县投资促进工作实际，及时研究思路对策，不断优化调整我局信息公开栏目，进一步提升了公众获取招商引资相关信息的便利度。积极发挥网站和政务新媒体的宣传推广作用，立足实际,主动谋划,扎实推动招商引资工作落地见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eastAsia="zh-CN"/>
        </w:rPr>
        <w:t>（五）监督保障</w:t>
      </w:r>
      <w:r>
        <w:rPr>
          <w:rFonts w:hint="eastAsia" w:ascii="方正楷体_GBK" w:hAnsi="方正楷体_GBK" w:eastAsia="方正楷体_GBK" w:cs="方正楷体_GBK"/>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b/>
          <w:bCs/>
          <w:color w:val="auto"/>
          <w:sz w:val="32"/>
          <w:szCs w:val="32"/>
          <w:lang w:val="en-US" w:eastAsia="zh-CN"/>
        </w:rPr>
        <w:t>工作考核方面。</w:t>
      </w:r>
      <w:r>
        <w:rPr>
          <w:rFonts w:hint="eastAsia" w:ascii="仿宋" w:hAnsi="仿宋" w:eastAsia="仿宋" w:cs="仿宋"/>
          <w:color w:val="auto"/>
          <w:sz w:val="32"/>
          <w:szCs w:val="32"/>
          <w:lang w:val="en-US" w:eastAsia="zh-CN"/>
        </w:rPr>
        <w:t>我局对照县政务公开办公室印发的《来安县2023年度政务公开考评方案》查缺补漏，对本年度政务公开工作开展情况进行自查自纠。根据县政务公开办测评以及第三方测评反馈的问题及时补差补缺，举一反三，完成问题整改，确保政务公开各项工作落实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方正仿宋_GBK" w:cs="Times New Roman"/>
          <w:color w:val="auto"/>
          <w:sz w:val="32"/>
          <w:szCs w:val="32"/>
          <w:lang w:val="en-US" w:eastAsia="zh-CN"/>
        </w:rPr>
        <w:t>2.</w:t>
      </w:r>
      <w:r>
        <w:rPr>
          <w:rFonts w:hint="eastAsia" w:ascii="方正仿宋_GBK" w:hAnsi="方正仿宋_GBK" w:eastAsia="方正仿宋_GBK" w:cs="方正仿宋_GBK"/>
          <w:b/>
          <w:bCs/>
          <w:color w:val="auto"/>
          <w:sz w:val="32"/>
          <w:szCs w:val="32"/>
          <w:lang w:val="en-US" w:eastAsia="zh-CN"/>
        </w:rPr>
        <w:t>社会评议方面。</w:t>
      </w:r>
      <w:r>
        <w:rPr>
          <w:rFonts w:hint="eastAsia" w:ascii="仿宋" w:hAnsi="仿宋" w:eastAsia="仿宋" w:cs="仿宋"/>
          <w:color w:val="auto"/>
          <w:sz w:val="32"/>
          <w:szCs w:val="32"/>
          <w:lang w:val="en-US" w:eastAsia="zh-CN"/>
        </w:rPr>
        <w:t>开设领导信箱、我要咨询等栏目、多种渠道接收社会公众的意见和建议。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Times New Roman"/>
          <w:color w:val="auto"/>
          <w:sz w:val="32"/>
          <w:szCs w:val="32"/>
          <w:lang w:val="en-US" w:eastAsia="zh-CN"/>
        </w:rPr>
        <w:t>3.</w:t>
      </w:r>
      <w:r>
        <w:rPr>
          <w:rFonts w:hint="eastAsia" w:ascii="方正仿宋_GBK" w:hAnsi="方正仿宋_GBK" w:eastAsia="方正仿宋_GBK" w:cs="方正仿宋_GBK"/>
          <w:b/>
          <w:bCs/>
          <w:color w:val="auto"/>
          <w:sz w:val="32"/>
          <w:szCs w:val="32"/>
          <w:lang w:val="en-US" w:eastAsia="zh-CN"/>
        </w:rPr>
        <w:t>责任追究结果情况。</w:t>
      </w:r>
      <w:r>
        <w:rPr>
          <w:rFonts w:hint="eastAsia" w:ascii="仿宋" w:hAnsi="仿宋" w:eastAsia="仿宋" w:cs="仿宋"/>
          <w:color w:val="auto"/>
          <w:sz w:val="32"/>
          <w:szCs w:val="32"/>
          <w:lang w:val="en-US" w:eastAsia="zh-CN"/>
        </w:rPr>
        <w:t>我局严格</w:t>
      </w:r>
      <w:r>
        <w:rPr>
          <w:rFonts w:hint="eastAsia" w:ascii="仿宋" w:hAnsi="仿宋" w:eastAsia="仿宋" w:cs="仿宋"/>
          <w:color w:val="auto"/>
          <w:sz w:val="32"/>
          <w:szCs w:val="32"/>
        </w:rPr>
        <w:t>落实</w:t>
      </w:r>
      <w:r>
        <w:rPr>
          <w:rFonts w:hint="eastAsia" w:ascii="仿宋" w:hAnsi="仿宋" w:eastAsia="仿宋" w:cs="仿宋"/>
          <w:color w:val="auto"/>
          <w:sz w:val="32"/>
          <w:szCs w:val="32"/>
          <w:lang w:eastAsia="zh-CN"/>
        </w:rPr>
        <w:t>政府</w:t>
      </w:r>
      <w:r>
        <w:rPr>
          <w:rFonts w:hint="eastAsia" w:ascii="仿宋" w:hAnsi="仿宋" w:eastAsia="仿宋" w:cs="仿宋"/>
          <w:color w:val="auto"/>
          <w:sz w:val="32"/>
          <w:szCs w:val="32"/>
        </w:rPr>
        <w:t>信息发布</w:t>
      </w:r>
      <w:r>
        <w:rPr>
          <w:rFonts w:hint="eastAsia" w:ascii="仿宋" w:hAnsi="仿宋" w:eastAsia="仿宋" w:cs="仿宋"/>
          <w:color w:val="auto"/>
          <w:sz w:val="32"/>
          <w:szCs w:val="32"/>
          <w:lang w:eastAsia="zh-CN"/>
        </w:rPr>
        <w:t>初审、复审、终审</w:t>
      </w:r>
      <w:r>
        <w:rPr>
          <w:rFonts w:hint="eastAsia" w:ascii="仿宋" w:hAnsi="仿宋" w:eastAsia="仿宋" w:cs="仿宋"/>
          <w:color w:val="auto"/>
          <w:sz w:val="32"/>
          <w:szCs w:val="32"/>
        </w:rPr>
        <w:t>“三审”制度，确保</w:t>
      </w:r>
      <w:r>
        <w:rPr>
          <w:rFonts w:hint="eastAsia" w:ascii="仿宋" w:hAnsi="仿宋" w:eastAsia="仿宋" w:cs="仿宋"/>
          <w:color w:val="auto"/>
          <w:sz w:val="32"/>
          <w:szCs w:val="32"/>
          <w:lang w:eastAsia="zh-CN"/>
        </w:rPr>
        <w:t>政府</w:t>
      </w:r>
      <w:r>
        <w:rPr>
          <w:rFonts w:hint="eastAsia" w:ascii="仿宋" w:hAnsi="仿宋" w:eastAsia="仿宋" w:cs="仿宋"/>
          <w:color w:val="auto"/>
          <w:sz w:val="32"/>
          <w:szCs w:val="32"/>
          <w:lang w:val="en-US" w:eastAsia="zh-CN"/>
        </w:rPr>
        <w:t>信息</w:t>
      </w:r>
      <w:r>
        <w:rPr>
          <w:rFonts w:hint="eastAsia" w:ascii="仿宋" w:hAnsi="仿宋" w:eastAsia="仿宋" w:cs="仿宋"/>
          <w:color w:val="auto"/>
          <w:sz w:val="32"/>
          <w:szCs w:val="32"/>
        </w:rPr>
        <w:t>内容</w:t>
      </w:r>
      <w:r>
        <w:rPr>
          <w:rFonts w:hint="eastAsia" w:ascii="仿宋" w:hAnsi="仿宋" w:eastAsia="仿宋" w:cs="仿宋"/>
          <w:color w:val="auto"/>
          <w:sz w:val="32"/>
          <w:szCs w:val="32"/>
          <w:lang w:eastAsia="zh-CN"/>
        </w:rPr>
        <w:t>安全发布</w:t>
      </w:r>
      <w:r>
        <w:rPr>
          <w:rFonts w:hint="eastAsia" w:ascii="仿宋" w:hAnsi="仿宋" w:eastAsia="仿宋" w:cs="仿宋"/>
          <w:color w:val="auto"/>
          <w:sz w:val="32"/>
          <w:szCs w:val="32"/>
          <w:lang w:val="en-US" w:eastAsia="zh-CN"/>
        </w:rPr>
        <w:t>，对于严重表述错误、泄露个人隐私等问题，第一时间处置。2023年度，我局无重大信息公开责任追究情况。</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二、主动公开政府信息情况</w:t>
      </w:r>
    </w:p>
    <w:tbl>
      <w:tblPr>
        <w:tblStyle w:val="5"/>
        <w:tblW w:w="8236" w:type="dxa"/>
        <w:jc w:val="center"/>
        <w:shd w:val="clear" w:color="auto" w:fill="FFFFFF"/>
        <w:tblLayout w:type="fixed"/>
        <w:tblCellMar>
          <w:top w:w="0" w:type="dxa"/>
          <w:left w:w="0" w:type="dxa"/>
          <w:bottom w:w="0" w:type="dxa"/>
          <w:right w:w="0" w:type="dxa"/>
        </w:tblCellMar>
      </w:tblPr>
      <w:tblGrid>
        <w:gridCol w:w="3113"/>
        <w:gridCol w:w="1719"/>
        <w:gridCol w:w="246"/>
        <w:gridCol w:w="1181"/>
        <w:gridCol w:w="96"/>
        <w:gridCol w:w="1785"/>
        <w:gridCol w:w="96"/>
      </w:tblGrid>
      <w:tr>
        <w:tblPrEx>
          <w:shd w:val="clear" w:color="auto" w:fill="FFFFFF"/>
          <w:tblCellMar>
            <w:top w:w="0" w:type="dxa"/>
            <w:left w:w="0" w:type="dxa"/>
            <w:bottom w:w="0" w:type="dxa"/>
            <w:right w:w="0" w:type="dxa"/>
          </w:tblCellMar>
        </w:tblPrEx>
        <w:trPr>
          <w:gridAfter w:val="1"/>
          <w:wAfter w:w="96" w:type="dxa"/>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第二十条第（一）项</w:t>
            </w:r>
          </w:p>
        </w:tc>
      </w:tr>
      <w:tr>
        <w:tblPrEx>
          <w:tblCellMar>
            <w:top w:w="0" w:type="dxa"/>
            <w:left w:w="0" w:type="dxa"/>
            <w:bottom w:w="0" w:type="dxa"/>
            <w:right w:w="0" w:type="dxa"/>
          </w:tblCellMar>
        </w:tblPrEx>
        <w:trPr>
          <w:gridAfter w:val="1"/>
          <w:wAfter w:w="96" w:type="dxa"/>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本年制</w:t>
            </w:r>
            <w:r>
              <w:rPr>
                <w:rFonts w:hint="eastAsia" w:ascii="宋体" w:hAnsi="宋体" w:cs="宋体"/>
                <w:i w:val="0"/>
                <w:caps w:val="0"/>
                <w:color w:val="auto"/>
                <w:spacing w:val="0"/>
                <w:sz w:val="20"/>
                <w:szCs w:val="20"/>
                <w:lang w:val="en-US" w:eastAsia="zh-CN"/>
              </w:rPr>
              <w:t>发件数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cs="宋体"/>
                <w:i w:val="0"/>
                <w:caps w:val="0"/>
                <w:color w:val="auto"/>
                <w:spacing w:val="0"/>
                <w:sz w:val="20"/>
                <w:szCs w:val="20"/>
                <w:lang w:val="en-US" w:eastAsia="zh-CN"/>
              </w:rPr>
              <w:t>(县级)</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w:t>
            </w:r>
            <w:r>
              <w:rPr>
                <w:rFonts w:hint="eastAsia" w:ascii="宋体" w:hAnsi="宋体" w:cs="宋体"/>
                <w:i w:val="0"/>
                <w:caps w:val="0"/>
                <w:color w:val="auto"/>
                <w:spacing w:val="0"/>
                <w:sz w:val="20"/>
                <w:szCs w:val="20"/>
                <w:lang w:val="en-US" w:eastAsia="zh-CN"/>
              </w:rPr>
              <w:t>废止件数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cs="宋体"/>
                <w:i w:val="0"/>
                <w:caps w:val="0"/>
                <w:color w:val="auto"/>
                <w:spacing w:val="0"/>
                <w:sz w:val="20"/>
                <w:szCs w:val="20"/>
                <w:lang w:val="en-US" w:eastAsia="zh-CN"/>
              </w:rPr>
              <w:t>（县级）</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cs="Calibri"/>
                <w:color w:val="auto"/>
                <w:sz w:val="21"/>
                <w:szCs w:val="21"/>
                <w:lang w:val="en-US" w:eastAsia="zh-CN"/>
              </w:rPr>
            </w:pPr>
            <w:r>
              <w:rPr>
                <w:rFonts w:hint="eastAsia" w:cs="Calibri"/>
                <w:color w:val="auto"/>
                <w:sz w:val="21"/>
                <w:szCs w:val="21"/>
                <w:lang w:val="en-US" w:eastAsia="zh-CN"/>
              </w:rPr>
              <w:t>现行有效件数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cs="Calibri"/>
                <w:color w:val="auto"/>
                <w:sz w:val="21"/>
                <w:szCs w:val="21"/>
                <w:lang w:val="en-US" w:eastAsia="zh-CN"/>
              </w:rPr>
            </w:pPr>
            <w:r>
              <w:rPr>
                <w:rFonts w:hint="eastAsia" w:cs="Calibri"/>
                <w:color w:val="auto"/>
                <w:sz w:val="21"/>
                <w:szCs w:val="21"/>
                <w:lang w:val="en-US" w:eastAsia="zh-CN"/>
              </w:rPr>
              <w:t>（县级）</w:t>
            </w:r>
          </w:p>
        </w:tc>
      </w:tr>
      <w:tr>
        <w:tblPrEx>
          <w:tblCellMar>
            <w:top w:w="0" w:type="dxa"/>
            <w:left w:w="0" w:type="dxa"/>
            <w:bottom w:w="0" w:type="dxa"/>
            <w:right w:w="0" w:type="dxa"/>
          </w:tblCellMar>
        </w:tblPrEx>
        <w:trPr>
          <w:gridAfter w:val="1"/>
          <w:wAfter w:w="96" w:type="dxa"/>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规章</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r>
      <w:tr>
        <w:tblPrEx>
          <w:tblCellMar>
            <w:top w:w="0" w:type="dxa"/>
            <w:left w:w="0" w:type="dxa"/>
            <w:bottom w:w="0" w:type="dxa"/>
            <w:right w:w="0" w:type="dxa"/>
          </w:tblCellMar>
        </w:tblPrEx>
        <w:trPr>
          <w:gridAfter w:val="1"/>
          <w:wAfter w:w="96" w:type="dxa"/>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cs="宋体"/>
                <w:i w:val="0"/>
                <w:caps w:val="0"/>
                <w:color w:val="auto"/>
                <w:spacing w:val="0"/>
                <w:sz w:val="20"/>
                <w:szCs w:val="20"/>
                <w:lang w:val="en-US" w:eastAsia="zh-CN"/>
              </w:rPr>
              <w:t>行政</w:t>
            </w:r>
            <w:r>
              <w:rPr>
                <w:rFonts w:hint="eastAsia" w:ascii="宋体" w:hAnsi="宋体" w:eastAsia="宋体" w:cs="宋体"/>
                <w:i w:val="0"/>
                <w:caps w:val="0"/>
                <w:color w:val="auto"/>
                <w:spacing w:val="0"/>
                <w:sz w:val="20"/>
                <w:szCs w:val="20"/>
              </w:rPr>
              <w:t>规范性文件</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第二十条第（五）项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行政许可</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第二十条第（六）项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行政处罚</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行政强制</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6" w:type="dxa"/>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第二十条第（八）项</w:t>
            </w:r>
          </w:p>
        </w:tc>
      </w:tr>
      <w:tr>
        <w:tblPrEx>
          <w:tblCellMar>
            <w:top w:w="0" w:type="dxa"/>
            <w:left w:w="0" w:type="dxa"/>
            <w:bottom w:w="0" w:type="dxa"/>
            <w:right w:w="0" w:type="dxa"/>
          </w:tblCellMar>
        </w:tblPrEx>
        <w:trPr>
          <w:gridAfter w:val="1"/>
          <w:wAfter w:w="96" w:type="dxa"/>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本年收费金额（单位：万元）</w:t>
            </w:r>
          </w:p>
        </w:tc>
      </w:tr>
      <w:tr>
        <w:tblPrEx>
          <w:tblCellMar>
            <w:top w:w="0" w:type="dxa"/>
            <w:left w:w="0" w:type="dxa"/>
            <w:bottom w:w="0" w:type="dxa"/>
            <w:right w:w="0" w:type="dxa"/>
          </w:tblCellMar>
        </w:tblPrEx>
        <w:trPr>
          <w:gridAfter w:val="1"/>
          <w:wAfter w:w="96" w:type="dxa"/>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行政事业性收费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trHeight w:val="0" w:hRule="atLeast"/>
          <w:jc w:val="center"/>
        </w:trPr>
        <w:tc>
          <w:tcPr>
            <w:tcW w:w="3113"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719"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246"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277" w:type="dxa"/>
            <w:gridSpan w:val="2"/>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881" w:type="dxa"/>
            <w:gridSpan w:val="2"/>
            <w:tcBorders>
              <w:top w:val="nil"/>
              <w:left w:val="nil"/>
              <w:bottom w:val="nil"/>
              <w:right w:val="nil"/>
            </w:tcBorders>
            <w:shd w:val="clear" w:color="auto" w:fill="FFFFFF"/>
            <w:noWrap w:val="0"/>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i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6"/>
        <w:gridCol w:w="816"/>
        <w:gridCol w:w="2261"/>
        <w:gridCol w:w="580"/>
        <w:gridCol w:w="772"/>
        <w:gridCol w:w="772"/>
        <w:gridCol w:w="827"/>
        <w:gridCol w:w="976"/>
        <w:gridCol w:w="732"/>
        <w:gridCol w:w="719"/>
      </w:tblGrid>
      <w:tr>
        <w:tblPrEx>
          <w:tblCellMar>
            <w:top w:w="0" w:type="dxa"/>
            <w:left w:w="0" w:type="dxa"/>
            <w:bottom w:w="0" w:type="dxa"/>
            <w:right w:w="0" w:type="dxa"/>
          </w:tblCellMar>
        </w:tblPrEx>
        <w:trPr>
          <w:jc w:val="center"/>
        </w:trPr>
        <w:tc>
          <w:tcPr>
            <w:tcW w:w="369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（本列数据的勾稽关系为：第一项加第二项之和，等于第三项加第四项之和）</w:t>
            </w:r>
          </w:p>
        </w:tc>
        <w:tc>
          <w:tcPr>
            <w:tcW w:w="5378"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申请人情况</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自然人</w:t>
            </w:r>
          </w:p>
        </w:tc>
        <w:tc>
          <w:tcPr>
            <w:tcW w:w="4079" w:type="dxa"/>
            <w:gridSpan w:val="5"/>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法人或其他组织</w:t>
            </w:r>
          </w:p>
        </w:tc>
        <w:tc>
          <w:tcPr>
            <w:tcW w:w="719"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商业企业</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科研机构</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社会公益组织</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法律服务机构</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其他</w:t>
            </w:r>
          </w:p>
        </w:tc>
        <w:tc>
          <w:tcPr>
            <w:tcW w:w="71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一、本年新收政府信息公开申请数量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二、上年结转政府信息公开申请数量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三、本年度办理结果</w:t>
            </w: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ascii="楷体" w:hAnsi="楷体" w:eastAsia="楷体" w:cs="楷体"/>
                <w:i w:val="0"/>
                <w:caps w:val="0"/>
                <w:color w:val="auto"/>
                <w:spacing w:val="0"/>
                <w:sz w:val="20"/>
                <w:szCs w:val="20"/>
              </w:rPr>
              <w:t>（一）予以公开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center" w:pos="317"/>
                <w:tab w:val="left" w:pos="461"/>
              </w:tabs>
              <w:wordWrap w:val="0"/>
              <w:spacing w:before="0" w:beforeAutospacing="0" w:after="0" w:afterAutospacing="0"/>
              <w:ind w:left="0" w:leftChars="0" w:right="0" w:rightChars="0"/>
              <w:jc w:val="left"/>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ab/>
            </w: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9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（二）部分公开（区分处理的，只计这一情形，不计其他情形）</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（三）不予公开</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1.属于国家秘密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0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2.其他法律行政法规禁止公开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3.危及“三安全一稳定”</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4.保护第三方合法权益</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3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5.属于三类内部事务信息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6.属于四类过程性信息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7.属于行政执法案卷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8.属于行政查询事项</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（四）无法提供</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1.本机关不掌握相关政府信息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2.没有现成信息需要另行制作</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49"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3.补正后申请内容仍不明确</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（五）不予处理</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1.信访举报投诉类申请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3.要求提供公开出版物</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53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4.无正当理由大量反复申请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72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5.要求行政机关确认或重新出具已获取信息</w:t>
            </w:r>
          </w:p>
        </w:tc>
        <w:tc>
          <w:tcPr>
            <w:tcW w:w="580"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trHeight w:val="841"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（六）其他处理</w:t>
            </w: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1.</w:t>
            </w:r>
            <w:r>
              <w:rPr>
                <w:rFonts w:hint="eastAsia" w:ascii="楷体" w:hAnsi="楷体" w:eastAsia="楷体" w:cs="楷体"/>
                <w:i w:val="0"/>
                <w:caps w:val="0"/>
                <w:color w:val="auto"/>
                <w:spacing w:val="0"/>
                <w:sz w:val="20"/>
                <w:szCs w:val="20"/>
              </w:rPr>
              <w:t>申请人无正当理由逾期不补正、行政机关不再处理其政府信息公开申请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rPr>
            </w:pPr>
            <w:r>
              <w:rPr>
                <w:rFonts w:hint="eastAsia" w:ascii="楷体" w:hAnsi="楷体" w:eastAsia="楷体" w:cs="楷体"/>
                <w:color w:val="auto"/>
                <w:sz w:val="20"/>
                <w:szCs w:val="20"/>
                <w:lang w:val="en-US" w:eastAsia="zh-CN"/>
              </w:rPr>
              <w:t>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color w:val="auto"/>
                <w:sz w:val="20"/>
                <w:szCs w:val="20"/>
              </w:rPr>
            </w:pPr>
          </w:p>
        </w:tc>
      </w:tr>
      <w:tr>
        <w:tblPrEx>
          <w:tblCellMar>
            <w:top w:w="0" w:type="dxa"/>
            <w:left w:w="0" w:type="dxa"/>
            <w:bottom w:w="0" w:type="dxa"/>
            <w:right w:w="0" w:type="dxa"/>
          </w:tblCellMar>
        </w:tblPrEx>
        <w:trPr>
          <w:trHeight w:val="9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2.</w:t>
            </w:r>
            <w:r>
              <w:rPr>
                <w:rFonts w:hint="eastAsia" w:ascii="楷体" w:hAnsi="楷体" w:eastAsia="楷体" w:cs="楷体"/>
                <w:i w:val="0"/>
                <w:caps w:val="0"/>
                <w:color w:val="auto"/>
                <w:spacing w:val="0"/>
                <w:sz w:val="20"/>
                <w:szCs w:val="20"/>
              </w:rPr>
              <w:t>申请人逾期未按收费通知要求缴纳费用、行政机关不再处理其政府信息公开申请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282" w:hRule="atLeast"/>
          <w:jc w:val="center"/>
        </w:trPr>
        <w:tc>
          <w:tcPr>
            <w:tcW w:w="616" w:type="dxa"/>
            <w:vMerge w:val="continue"/>
            <w:tcBorders>
              <w:left w:val="single" w:color="auto" w:sz="8" w:space="0"/>
              <w:bottom w:val="single" w:color="auto" w:sz="8"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r>
              <w:rPr>
                <w:rFonts w:hint="eastAsia" w:ascii="楷体" w:hAnsi="楷体" w:eastAsia="楷体" w:cs="楷体"/>
                <w:i w:val="0"/>
                <w:caps w:val="0"/>
                <w:color w:val="auto"/>
                <w:spacing w:val="0"/>
                <w:sz w:val="20"/>
                <w:szCs w:val="20"/>
              </w:rPr>
              <w:t>3.其他</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342" w:hRule="atLeas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（七）总计</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四、结转下年度继续办理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200" w:firstLineChars="0"/>
              <w:jc w:val="left"/>
              <w:rPr>
                <w:rFonts w:hint="eastAsia" w:ascii="楷体" w:hAnsi="楷体" w:eastAsia="楷体" w:cs="楷体"/>
                <w:color w:val="auto"/>
                <w:sz w:val="20"/>
                <w:szCs w:val="20"/>
                <w:lang w:val="en-US" w:eastAsia="zh-CN"/>
              </w:rPr>
            </w:pPr>
            <w:r>
              <w:rPr>
                <w:rFonts w:hint="eastAsia" w:ascii="楷体" w:hAnsi="楷体" w:eastAsia="楷体" w:cs="楷体"/>
                <w:color w:val="auto"/>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四、</w:t>
      </w:r>
      <w:r>
        <w:rPr>
          <w:rFonts w:hint="eastAsia" w:ascii="方正黑体_GBK" w:hAnsi="方正黑体_GBK" w:eastAsia="方正黑体_GBK" w:cs="方正黑体_GBK"/>
          <w:color w:val="auto"/>
          <w:sz w:val="32"/>
          <w:szCs w:val="32"/>
        </w:rPr>
        <w:t>政府信息公开行政复议、行政诉讼情况</w:t>
      </w:r>
    </w:p>
    <w:tbl>
      <w:tblPr>
        <w:tblStyle w:val="5"/>
        <w:tblW w:w="9071" w:type="dxa"/>
        <w:jc w:val="center"/>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FFFFFF"/>
          <w:tblCellMar>
            <w:top w:w="0" w:type="dxa"/>
            <w:left w:w="0" w:type="dxa"/>
            <w:bottom w:w="0" w:type="dxa"/>
            <w:right w:w="0" w:type="dxa"/>
          </w:tblCellMar>
        </w:tblPrEx>
        <w:trPr>
          <w:trHeight w:val="58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行政诉讼</w:t>
            </w:r>
          </w:p>
        </w:tc>
      </w:tr>
      <w:tr>
        <w:tblPrEx>
          <w:tblCellMar>
            <w:top w:w="0" w:type="dxa"/>
            <w:left w:w="0" w:type="dxa"/>
            <w:bottom w:w="0" w:type="dxa"/>
            <w:right w:w="0" w:type="dxa"/>
          </w:tblCellMar>
        </w:tblPrEx>
        <w:trPr>
          <w:trHeight w:val="672" w:hRule="atLeast"/>
          <w:jc w:val="center"/>
        </w:trPr>
        <w:tc>
          <w:tcPr>
            <w:tcW w:w="604"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58"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2970"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复议后起诉</w:t>
            </w:r>
          </w:p>
        </w:tc>
      </w:tr>
      <w:tr>
        <w:tblPrEx>
          <w:tblCellMar>
            <w:top w:w="0" w:type="dxa"/>
            <w:left w:w="0" w:type="dxa"/>
            <w:bottom w:w="0" w:type="dxa"/>
            <w:right w:w="0" w:type="dxa"/>
          </w:tblCellMar>
        </w:tblPrEx>
        <w:trPr>
          <w:trHeight w:val="1458" w:hRule="atLeast"/>
          <w:jc w:val="center"/>
        </w:trPr>
        <w:tc>
          <w:tcPr>
            <w:tcW w:w="60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58"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trHeight w:val="912" w:hRule="atLeast"/>
          <w:jc w:val="center"/>
        </w:trPr>
        <w:tc>
          <w:tcPr>
            <w:tcW w:w="60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五、存在的主要问题及改进措施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1.招商类信息不够全面，刊登的招商项目、政策信息类相对较少。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2.宣传力度有待进一步加大，特别是政策解读、文件通知等方面的信息公开尚需加强。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3.政策解读的针对性、实用性、多样性有待进一步提升。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1.继续强化政务信息公开能力建设，坚持聚焦群众关切的招商项目、招商引资政策等工作，进一步推动政务公开工作向纵深发展。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2.加强队伍建设，要强化政务信息公开人员的专业技能培训，进一步提升业务专员的个人能力素养。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3.提升政策解读质量，创新政策解读形式、丰富政策解读内容，进一步提高公众及企业对政策解读的知晓度、满意度。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按照《国务院办公厅关于印发〈政府信息公开信息处理费管理办法〉的通知》（国办函</w:t>
      </w:r>
      <w:r>
        <w:rPr>
          <w:rFonts w:hint="eastAsia" w:ascii="Times New Roman" w:hAnsi="Times New Roman" w:eastAsia="方正仿宋_GBK" w:cs="Times New Roman"/>
          <w:color w:val="auto"/>
          <w:sz w:val="32"/>
          <w:szCs w:val="32"/>
          <w:lang w:val="en-US" w:eastAsia="zh-CN"/>
        </w:rPr>
        <w:t>〔2020〕109</w:t>
      </w:r>
      <w:r>
        <w:rPr>
          <w:rFonts w:hint="eastAsia" w:ascii="方正仿宋_GBK" w:hAnsi="方正仿宋_GBK" w:eastAsia="方正仿宋_GBK" w:cs="方正仿宋_GBK"/>
          <w:color w:val="auto"/>
          <w:sz w:val="32"/>
          <w:szCs w:val="32"/>
          <w:lang w:eastAsia="zh-CN"/>
        </w:rPr>
        <w:t>号）规定的按件、按量收费标准，本年度没有产生信息公开处理费。</w:t>
      </w:r>
    </w:p>
    <w:p>
      <w:pPr>
        <w:pStyle w:val="3"/>
        <w:ind w:left="0" w:leftChars="0" w:firstLine="0" w:firstLineChars="0"/>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来安县投资促进局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2023年1月29日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0AF2713-65F6-4616-9179-E9BF33F9865F}"/>
  </w:font>
  <w:font w:name="方正仿宋_GBK">
    <w:panose1 w:val="02000000000000000000"/>
    <w:charset w:val="86"/>
    <w:family w:val="auto"/>
    <w:pitch w:val="default"/>
    <w:sig w:usb0="A00002BF" w:usb1="38CF7CFA" w:usb2="00082016" w:usb3="00000000" w:csb0="00040001" w:csb1="00000000"/>
    <w:embedRegular r:id="rId2" w:fontKey="{B6FA0733-BDDB-4119-A4DD-683406A6DC65}"/>
  </w:font>
  <w:font w:name="仿宋">
    <w:panose1 w:val="02010609060101010101"/>
    <w:charset w:val="86"/>
    <w:family w:val="auto"/>
    <w:pitch w:val="default"/>
    <w:sig w:usb0="800002BF" w:usb1="38CF7CFA" w:usb2="00000016" w:usb3="00000000" w:csb0="00040001" w:csb1="00000000"/>
    <w:embedRegular r:id="rId3" w:fontKey="{0E1823F8-F21F-47A1-B280-FF17B559B321}"/>
  </w:font>
  <w:font w:name="方正黑体_GBK">
    <w:panose1 w:val="02000000000000000000"/>
    <w:charset w:val="86"/>
    <w:family w:val="auto"/>
    <w:pitch w:val="default"/>
    <w:sig w:usb0="A00002BF" w:usb1="38CF7CFA" w:usb2="00082016" w:usb3="00000000" w:csb0="00040001" w:csb1="00000000"/>
    <w:embedRegular r:id="rId4" w:fontKey="{93A0301D-DD3A-4252-85F8-8D459F179102}"/>
  </w:font>
  <w:font w:name="方正楷体_GBK">
    <w:panose1 w:val="02000000000000000000"/>
    <w:charset w:val="86"/>
    <w:family w:val="auto"/>
    <w:pitch w:val="default"/>
    <w:sig w:usb0="A00002BF" w:usb1="38CF7CFA" w:usb2="00082016" w:usb3="00000000" w:csb0="00040001" w:csb1="00000000"/>
    <w:embedRegular r:id="rId5" w:fontKey="{6759BACC-9B79-4527-A2A5-5933F986A8C7}"/>
  </w:font>
  <w:font w:name="仿宋_GB2312">
    <w:panose1 w:val="02010609030101010101"/>
    <w:charset w:val="86"/>
    <w:family w:val="auto"/>
    <w:pitch w:val="default"/>
    <w:sig w:usb0="00000001" w:usb1="080E0000" w:usb2="00000000" w:usb3="00000000" w:csb0="00040000" w:csb1="00000000"/>
    <w:embedRegular r:id="rId6" w:fontKey="{FDD5254F-30B6-422C-BE80-73CC1EA44D4F}"/>
  </w:font>
  <w:font w:name="楷体">
    <w:panose1 w:val="02010609060101010101"/>
    <w:charset w:val="86"/>
    <w:family w:val="auto"/>
    <w:pitch w:val="default"/>
    <w:sig w:usb0="800002BF" w:usb1="38CF7CFA" w:usb2="00000016" w:usb3="00000000" w:csb0="00040001" w:csb1="00000000"/>
    <w:embedRegular r:id="rId7" w:fontKey="{3CED86C4-FE72-4738-A3FC-BA6BE7A45B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MjM1NGI1NjBlMGM1MTU1MDIzZGZhMzFlNDk2NjEifQ=="/>
  </w:docVars>
  <w:rsids>
    <w:rsidRoot w:val="00000000"/>
    <w:rsid w:val="02BC7D06"/>
    <w:rsid w:val="03AA6F29"/>
    <w:rsid w:val="066A35AE"/>
    <w:rsid w:val="067B56BE"/>
    <w:rsid w:val="08EE04EE"/>
    <w:rsid w:val="10BE3705"/>
    <w:rsid w:val="126014DE"/>
    <w:rsid w:val="154501CA"/>
    <w:rsid w:val="159B19FD"/>
    <w:rsid w:val="1750716C"/>
    <w:rsid w:val="1F5B77C8"/>
    <w:rsid w:val="207217CD"/>
    <w:rsid w:val="2A88659C"/>
    <w:rsid w:val="2D0464EC"/>
    <w:rsid w:val="30AF4918"/>
    <w:rsid w:val="39135870"/>
    <w:rsid w:val="393A3157"/>
    <w:rsid w:val="3D970177"/>
    <w:rsid w:val="40016FBE"/>
    <w:rsid w:val="40AB312A"/>
    <w:rsid w:val="419E6862"/>
    <w:rsid w:val="44565FEF"/>
    <w:rsid w:val="4533498B"/>
    <w:rsid w:val="47220F6A"/>
    <w:rsid w:val="47E52D4A"/>
    <w:rsid w:val="47FC0E8D"/>
    <w:rsid w:val="49CB1BAA"/>
    <w:rsid w:val="4F5379AB"/>
    <w:rsid w:val="503F0517"/>
    <w:rsid w:val="531931B7"/>
    <w:rsid w:val="54005529"/>
    <w:rsid w:val="59B937CD"/>
    <w:rsid w:val="59E11765"/>
    <w:rsid w:val="5A1A116A"/>
    <w:rsid w:val="5EAF0B96"/>
    <w:rsid w:val="6A681023"/>
    <w:rsid w:val="6C3802AB"/>
    <w:rsid w:val="6C95448F"/>
    <w:rsid w:val="6F366B35"/>
    <w:rsid w:val="719A00B5"/>
    <w:rsid w:val="73B476CA"/>
    <w:rsid w:val="7EE0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semiHidden/>
    <w:qFormat/>
    <w:uiPriority w:val="99"/>
    <w:pPr>
      <w:ind w:left="420" w:leftChars="200"/>
    </w:p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3243</Words>
  <Characters>3409</Characters>
  <Lines>0</Lines>
  <Paragraphs>0</Paragraphs>
  <TotalTime>12</TotalTime>
  <ScaleCrop>false</ScaleCrop>
  <LinksUpToDate>false</LinksUpToDate>
  <CharactersWithSpaces>3413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2023-01-09T07:51:00Z</dcterms:created>
  <dc:creator>来安02</dc:creator>
  <cp:lastModifiedBy>liu zhigang</cp:lastModifiedBy>
  <dcterms:modified xsi:type="dcterms:W3CDTF">2024-01-30T07:57:57Z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133716D7C1464700B6BB6FB65E41B1E0_13</vt:lpwstr>
  </property>
</Properties>
</file>