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来安县</w:t>
      </w:r>
      <w:r>
        <w:rPr>
          <w:rFonts w:hint="eastAsia" w:ascii="方正小标宋_GBK" w:hAnsi="方正小标宋_GBK" w:eastAsia="方正小标宋_GBK" w:cs="方正小标宋_GBK"/>
          <w:b w:val="0"/>
          <w:bCs w:val="0"/>
          <w:sz w:val="44"/>
          <w:szCs w:val="44"/>
          <w:lang w:val="en-US" w:eastAsia="zh-CN"/>
        </w:rPr>
        <w:t>农业农村局</w:t>
      </w:r>
      <w:r>
        <w:rPr>
          <w:rFonts w:hint="eastAsia" w:ascii="方正小标宋_GBK" w:hAnsi="方正小标宋_GBK" w:eastAsia="方正小标宋_GBK" w:cs="方正小标宋_GBK"/>
          <w:b w:val="0"/>
          <w:bCs w:val="0"/>
          <w:sz w:val="44"/>
          <w:szCs w:val="44"/>
        </w:rPr>
        <w:t>202</w:t>
      </w:r>
      <w:r>
        <w:rPr>
          <w:rFonts w:hint="eastAsia" w:ascii="方正小标宋_GBK" w:hAnsi="方正小标宋_GBK" w:eastAsia="方正小标宋_GBK" w:cs="方正小标宋_GBK"/>
          <w:b w:val="0"/>
          <w:bCs w:val="0"/>
          <w:sz w:val="44"/>
          <w:szCs w:val="44"/>
          <w:lang w:val="en-US" w:eastAsia="zh-CN"/>
        </w:rPr>
        <w:t>3</w:t>
      </w:r>
      <w:r>
        <w:rPr>
          <w:rFonts w:hint="eastAsia" w:ascii="方正小标宋_GBK" w:hAnsi="方正小标宋_GBK" w:eastAsia="方正小标宋_GBK" w:cs="方正小标宋_GBK"/>
          <w:b w:val="0"/>
          <w:bCs w:val="0"/>
          <w:sz w:val="44"/>
          <w:szCs w:val="44"/>
        </w:rPr>
        <w:t>年政府信息</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公开工作年度报告</w:t>
      </w:r>
    </w:p>
    <w:bookmarkEnd w:id="0"/>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方正仿宋_GBK" w:hAnsi="方正仿宋_GBK" w:eastAsia="方正仿宋_GBK" w:cs="方正仿宋_GBK"/>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color w:val="auto"/>
          <w:sz w:val="32"/>
          <w:szCs w:val="32"/>
        </w:rPr>
        <w:t>本报告是根据《中华人民共和国政府信息公开条例》（国务院令 711 号）要求，由</w:t>
      </w:r>
      <w:r>
        <w:rPr>
          <w:rFonts w:hint="eastAsia" w:ascii="仿宋_GB2312" w:hAnsi="仿宋_GB2312" w:eastAsia="仿宋_GB2312" w:cs="仿宋_GB2312"/>
          <w:color w:val="auto"/>
          <w:sz w:val="32"/>
          <w:szCs w:val="32"/>
          <w:lang w:val="en-US" w:eastAsia="zh-CN"/>
        </w:rPr>
        <w:t>来安县农业农村局</w:t>
      </w:r>
      <w:r>
        <w:rPr>
          <w:rFonts w:hint="eastAsia" w:ascii="仿宋_GB2312" w:hAnsi="仿宋_GB2312" w:eastAsia="仿宋_GB2312" w:cs="仿宋_GB2312"/>
          <w:color w:val="auto"/>
          <w:sz w:val="32"/>
          <w:szCs w:val="32"/>
        </w:rPr>
        <w:t>编制。全文包括：20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年度总体情况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主动公开政府信息情况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收到和处理政府信息公开申请情况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政府信息公开行政复议行政诉讼情况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存在的主要问题及改进情况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其他需要报告的事项等6项内容。本报告中使用数据统计期限为20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年1月1日至12月31日。</w:t>
      </w:r>
      <w:r>
        <w:rPr>
          <w:rFonts w:hint="eastAsia" w:ascii="仿宋_GB2312" w:hAnsi="仿宋_GB2312" w:eastAsia="仿宋_GB2312" w:cs="仿宋_GB2312"/>
          <w:i w:val="0"/>
          <w:caps w:val="0"/>
          <w:color w:val="auto"/>
          <w:spacing w:val="0"/>
          <w:sz w:val="32"/>
          <w:szCs w:val="32"/>
          <w:shd w:val="clear" w:color="auto" w:fill="FFFFFF"/>
        </w:rPr>
        <w:t>本报告电子版可在来安县</w:t>
      </w:r>
      <w:r>
        <w:rPr>
          <w:rFonts w:hint="eastAsia" w:ascii="仿宋_GB2312" w:hAnsi="仿宋_GB2312" w:eastAsia="仿宋_GB2312" w:cs="仿宋_GB2312"/>
          <w:i w:val="0"/>
          <w:caps w:val="0"/>
          <w:color w:val="auto"/>
          <w:spacing w:val="0"/>
          <w:sz w:val="32"/>
          <w:szCs w:val="32"/>
          <w:shd w:val="clear" w:color="auto" w:fill="FFFFFF"/>
          <w:lang w:val="en-US" w:eastAsia="zh-CN"/>
        </w:rPr>
        <w:t>人民政府门户网站</w:t>
      </w:r>
      <w:r>
        <w:rPr>
          <w:rFonts w:hint="eastAsia" w:ascii="仿宋_GB2312" w:hAnsi="仿宋_GB2312" w:eastAsia="仿宋_GB2312" w:cs="仿宋_GB2312"/>
          <w:color w:val="auto"/>
          <w:sz w:val="32"/>
          <w:szCs w:val="32"/>
          <w:lang w:val="en-US" w:eastAsia="zh-CN"/>
        </w:rPr>
        <w:t>（http://www.laian.gov.cn）</w:t>
      </w:r>
      <w:r>
        <w:rPr>
          <w:rFonts w:hint="eastAsia" w:ascii="仿宋_GB2312" w:hAnsi="仿宋_GB2312" w:eastAsia="仿宋_GB2312" w:cs="仿宋_GB2312"/>
          <w:i w:val="0"/>
          <w:caps w:val="0"/>
          <w:color w:val="auto"/>
          <w:spacing w:val="0"/>
          <w:sz w:val="32"/>
          <w:szCs w:val="32"/>
          <w:shd w:val="clear" w:color="auto" w:fill="FFFFFF"/>
          <w:lang w:val="en-US" w:eastAsia="zh-CN"/>
        </w:rPr>
        <w:t>政府信息公</w:t>
      </w:r>
      <w:r>
        <w:rPr>
          <w:rFonts w:ascii="仿宋_GB2312" w:hAnsi="宋体" w:eastAsia="仿宋_GB2312" w:cs="仿宋_GB2312"/>
          <w:i w:val="0"/>
          <w:iCs w:val="0"/>
          <w:caps w:val="0"/>
          <w:color w:val="000000"/>
          <w:spacing w:val="0"/>
          <w:sz w:val="32"/>
          <w:szCs w:val="32"/>
          <w:shd w:val="clear" w:fill="FFFFFF"/>
        </w:rPr>
        <w:t>开来安县农业农村局</w:t>
      </w:r>
      <w:r>
        <w:rPr>
          <w:rFonts w:hint="eastAsia" w:ascii="宋体" w:hAnsi="宋体" w:eastAsia="宋体" w:cs="宋体"/>
          <w:i w:val="0"/>
          <w:iCs w:val="0"/>
          <w:caps w:val="0"/>
          <w:color w:val="000000"/>
          <w:spacing w:val="0"/>
          <w:sz w:val="32"/>
          <w:szCs w:val="32"/>
        </w:rPr>
        <w:t>“</w:t>
      </w:r>
      <w:r>
        <w:rPr>
          <w:rFonts w:hint="eastAsia" w:ascii="仿宋_GB2312" w:hAnsi="宋体" w:eastAsia="仿宋_GB2312" w:cs="仿宋_GB2312"/>
          <w:i w:val="0"/>
          <w:iCs w:val="0"/>
          <w:caps w:val="0"/>
          <w:color w:val="000000"/>
          <w:spacing w:val="0"/>
          <w:sz w:val="32"/>
          <w:szCs w:val="32"/>
        </w:rPr>
        <w:t>政府信息公开年报</w:t>
      </w:r>
      <w:r>
        <w:rPr>
          <w:rFonts w:hint="eastAsia" w:ascii="宋体" w:hAnsi="宋体" w:eastAsia="宋体" w:cs="宋体"/>
          <w:i w:val="0"/>
          <w:iCs w:val="0"/>
          <w:caps w:val="0"/>
          <w:color w:val="000000"/>
          <w:spacing w:val="0"/>
          <w:sz w:val="32"/>
          <w:szCs w:val="32"/>
        </w:rPr>
        <w:t>”</w:t>
      </w:r>
      <w:r>
        <w:rPr>
          <w:rFonts w:hint="eastAsia" w:ascii="仿宋_GB2312" w:hAnsi="宋体" w:eastAsia="仿宋_GB2312" w:cs="仿宋_GB2312"/>
          <w:i w:val="0"/>
          <w:iCs w:val="0"/>
          <w:caps w:val="0"/>
          <w:color w:val="000000"/>
          <w:spacing w:val="0"/>
          <w:sz w:val="32"/>
          <w:szCs w:val="32"/>
        </w:rPr>
        <w:t>栏目下载</w:t>
      </w:r>
      <w:r>
        <w:rPr>
          <w:rFonts w:hint="eastAsia" w:ascii="仿宋_GB2312" w:hAnsi="仿宋_GB2312" w:eastAsia="仿宋_GB2312" w:cs="仿宋_GB2312"/>
          <w:i w:val="0"/>
          <w:caps w:val="0"/>
          <w:color w:val="auto"/>
          <w:spacing w:val="0"/>
          <w:sz w:val="32"/>
          <w:szCs w:val="32"/>
          <w:shd w:val="clear" w:color="auto" w:fill="FFFFFF"/>
          <w:lang w:val="en-US" w:eastAsia="zh-CN"/>
        </w:rPr>
        <w:t>。</w:t>
      </w:r>
      <w:r>
        <w:rPr>
          <w:rFonts w:hint="eastAsia" w:ascii="仿宋_GB2312" w:hAnsi="仿宋_GB2312" w:eastAsia="仿宋_GB2312" w:cs="仿宋_GB2312"/>
          <w:color w:val="auto"/>
          <w:sz w:val="32"/>
          <w:szCs w:val="32"/>
        </w:rPr>
        <w:t>如有疑问，</w:t>
      </w: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请与来安县农业农村局办公室联系联系（地址：来安县政务服务中心6楼，电话：0550-5614717，邮编：239200）。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一、总体情况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主动公开</w:t>
      </w:r>
      <w:r>
        <w:rPr>
          <w:rFonts w:hint="eastAsia" w:ascii="楷体_GB2312" w:hAnsi="楷体_GB2312" w:eastAsia="楷体_GB2312" w:cs="楷体_GB2312"/>
          <w:color w:val="auto"/>
          <w:sz w:val="32"/>
          <w:szCs w:val="32"/>
          <w:lang w:val="en-US" w:eastAsia="zh-CN"/>
        </w:rPr>
        <w:t>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2023年，我局主动公开政策法规类文件8条，重大决策预公开16条，涉农补贴类18条，按照信息公开的程序和时限要求，及时在政府网站公开财政专项资金使用情况、土地经营权流转情况、双随机一公开情况、招标采购情况等共计301条，做到真实、及时、合法、有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（二）依申请公开</w:t>
      </w:r>
      <w:r>
        <w:rPr>
          <w:rFonts w:hint="eastAsia" w:ascii="楷体_GB2312" w:hAnsi="楷体_GB2312" w:eastAsia="楷体_GB2312" w:cs="楷体_GB2312"/>
          <w:color w:val="auto"/>
          <w:sz w:val="32"/>
          <w:szCs w:val="32"/>
          <w:lang w:val="en-US" w:eastAsia="zh-CN"/>
        </w:rPr>
        <w:t>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严格制度规范。对群众提出的信息公开申请，经保密审查等法定程序后允许公开的，及时公开并向申请人反馈；依法不予公开的，本着对申请人高度负责的态度及时做好解释工作。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（三）政府信息管理</w:t>
      </w:r>
      <w:r>
        <w:rPr>
          <w:rFonts w:hint="eastAsia" w:ascii="楷体_GB2312" w:hAnsi="楷体_GB2312" w:eastAsia="楷体_GB2312" w:cs="楷体_GB2312"/>
          <w:color w:val="auto"/>
          <w:sz w:val="32"/>
          <w:szCs w:val="32"/>
          <w:lang w:val="en-US" w:eastAsia="zh-CN"/>
        </w:rPr>
        <w:t>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加强和规范政府信息发布审核，做好政府信息发布前的规范管理工作，根据政策文本发布格式，对政策文件原文、发文字号、成文日期、发布日期等内容进行规范化发布，同时按照WORD和PDF格式提供网络下载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2.进一步完善重要政策文件解读。2023年，围绕重要政策文件，发布政策解读材料6篇，全方位对政策文件进行解读，提高了政策可读性和知晓性。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eastAsia="zh-CN"/>
        </w:rPr>
        <w:t>（四）政府信息公开平台建设</w:t>
      </w:r>
      <w:r>
        <w:rPr>
          <w:rFonts w:hint="eastAsia" w:ascii="楷体_GB2312" w:hAnsi="楷体_GB2312" w:eastAsia="楷体_GB2312" w:cs="楷体_GB2312"/>
          <w:color w:val="auto"/>
          <w:sz w:val="32"/>
          <w:szCs w:val="32"/>
          <w:lang w:val="en-US" w:eastAsia="zh-CN"/>
        </w:rPr>
        <w:t>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宋体" w:hAnsi="宋体" w:eastAsia="宋体" w:cs="宋体"/>
          <w:i w:val="0"/>
          <w:iCs w:val="0"/>
          <w:caps w:val="0"/>
          <w:color w:val="auto"/>
          <w:spacing w:val="0"/>
          <w:sz w:val="24"/>
          <w:szCs w:val="24"/>
        </w:rPr>
      </w:pPr>
      <w:r>
        <w:rPr>
          <w:rFonts w:hint="default" w:ascii="仿宋_GB2312" w:hAnsi="宋体" w:eastAsia="仿宋_GB2312" w:cs="仿宋_GB2312"/>
          <w:i w:val="0"/>
          <w:iCs w:val="0"/>
          <w:caps w:val="0"/>
          <w:color w:val="auto"/>
          <w:spacing w:val="0"/>
          <w:kern w:val="0"/>
          <w:sz w:val="32"/>
          <w:szCs w:val="32"/>
          <w:shd w:val="clear" w:fill="FFFFFF"/>
          <w:lang w:val="en-US" w:eastAsia="zh-CN" w:bidi="ar"/>
        </w:rPr>
        <w:t>按照《县级政府信息主动公开目录规范》和《县直部门政府信息主动公开目录规范》，结合县农业农村局工作职责，推进政务公开工作落到实处，同时强化网站信息安全监管。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（五）监督保障</w:t>
      </w:r>
      <w:r>
        <w:rPr>
          <w:rFonts w:hint="eastAsia" w:ascii="仿宋_GB2312" w:hAnsi="仿宋_GB2312" w:eastAsia="仿宋_GB2312" w:cs="仿宋_GB2312"/>
          <w:color w:val="auto"/>
          <w:sz w:val="32"/>
          <w:szCs w:val="32"/>
          <w:lang w:val="en-US" w:eastAsia="zh-CN"/>
        </w:rPr>
        <w:t>方面。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b/>
          <w:bCs/>
          <w:color w:val="auto"/>
          <w:sz w:val="32"/>
          <w:szCs w:val="32"/>
          <w:lang w:val="en-US" w:eastAsia="zh-CN"/>
        </w:rPr>
        <w:t>工作考核方面。</w:t>
      </w:r>
      <w:r>
        <w:rPr>
          <w:rFonts w:hint="eastAsia" w:ascii="仿宋_GB2312" w:hAnsi="仿宋_GB2312" w:eastAsia="仿宋_GB2312" w:cs="仿宋_GB2312"/>
          <w:i w:val="0"/>
          <w:caps w:val="0"/>
          <w:color w:val="auto"/>
          <w:spacing w:val="0"/>
          <w:sz w:val="32"/>
          <w:szCs w:val="32"/>
          <w:shd w:val="clear" w:color="auto" w:fill="FFFFFF"/>
          <w:lang w:val="en-US" w:eastAsia="zh-CN"/>
        </w:rPr>
        <w:t>贯彻落实《来安县2023年度政务公开考评方案》，将考评结果计入年度目标管理绩效考核。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bCs/>
          <w:color w:val="auto"/>
          <w:sz w:val="32"/>
          <w:szCs w:val="32"/>
          <w:lang w:val="en-US" w:eastAsia="zh-CN"/>
        </w:rPr>
        <w:t>社会评议方面。</w:t>
      </w:r>
      <w:r>
        <w:rPr>
          <w:rFonts w:hint="eastAsia" w:ascii="仿宋_GB2312" w:hAnsi="仿宋_GB2312" w:eastAsia="仿宋_GB2312" w:cs="仿宋_GB2312"/>
          <w:color w:val="auto"/>
          <w:sz w:val="32"/>
          <w:szCs w:val="32"/>
          <w:lang w:val="en-US" w:eastAsia="zh-CN"/>
        </w:rPr>
        <w:t>提升政务公开“窗口效应”，加强县政府信息公开各项栏目建设，通过认真谋划建设专题专栏首页布局和飘窗设计，将方便公众参与的重要渠道呈现在前沿领域。</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bCs/>
          <w:color w:val="auto"/>
          <w:sz w:val="32"/>
          <w:szCs w:val="32"/>
          <w:lang w:val="en-US" w:eastAsia="zh-CN"/>
        </w:rPr>
        <w:t>责任追究结果情况。</w:t>
      </w:r>
      <w:r>
        <w:rPr>
          <w:rFonts w:hint="eastAsia" w:ascii="仿宋_GB2312" w:hAnsi="仿宋_GB2312" w:eastAsia="仿宋_GB2312" w:cs="仿宋_GB2312"/>
          <w:color w:val="auto"/>
          <w:sz w:val="32"/>
          <w:szCs w:val="32"/>
          <w:lang w:val="en-US" w:eastAsia="zh-CN"/>
        </w:rPr>
        <w:t>县农业农村局严格</w:t>
      </w:r>
      <w:r>
        <w:rPr>
          <w:rFonts w:hint="eastAsia" w:ascii="仿宋_GB2312" w:hAnsi="仿宋_GB2312" w:eastAsia="仿宋_GB2312" w:cs="仿宋_GB2312"/>
          <w:color w:val="auto"/>
          <w:sz w:val="32"/>
          <w:szCs w:val="32"/>
        </w:rPr>
        <w:t>落实</w:t>
      </w:r>
      <w:r>
        <w:rPr>
          <w:rFonts w:hint="eastAsia" w:ascii="仿宋_GB2312" w:hAnsi="仿宋_GB2312" w:eastAsia="仿宋_GB2312" w:cs="仿宋_GB2312"/>
          <w:color w:val="auto"/>
          <w:sz w:val="32"/>
          <w:szCs w:val="32"/>
          <w:lang w:eastAsia="zh-CN"/>
        </w:rPr>
        <w:t>政府</w:t>
      </w:r>
      <w:r>
        <w:rPr>
          <w:rFonts w:hint="eastAsia" w:ascii="仿宋_GB2312" w:hAnsi="仿宋_GB2312" w:eastAsia="仿宋_GB2312" w:cs="仿宋_GB2312"/>
          <w:color w:val="auto"/>
          <w:sz w:val="32"/>
          <w:szCs w:val="32"/>
        </w:rPr>
        <w:t>信息发布</w:t>
      </w:r>
      <w:r>
        <w:rPr>
          <w:rFonts w:hint="eastAsia" w:ascii="仿宋_GB2312" w:hAnsi="仿宋_GB2312" w:eastAsia="仿宋_GB2312" w:cs="仿宋_GB2312"/>
          <w:color w:val="auto"/>
          <w:sz w:val="32"/>
          <w:szCs w:val="32"/>
          <w:lang w:eastAsia="zh-CN"/>
        </w:rPr>
        <w:t>初审、复审、终审</w:t>
      </w:r>
      <w:r>
        <w:rPr>
          <w:rFonts w:hint="eastAsia" w:ascii="仿宋_GB2312" w:hAnsi="仿宋_GB2312" w:eastAsia="仿宋_GB2312" w:cs="仿宋_GB2312"/>
          <w:color w:val="auto"/>
          <w:sz w:val="32"/>
          <w:szCs w:val="32"/>
        </w:rPr>
        <w:t>“三审”制度，确保</w:t>
      </w:r>
      <w:r>
        <w:rPr>
          <w:rFonts w:hint="eastAsia" w:ascii="仿宋_GB2312" w:hAnsi="仿宋_GB2312" w:eastAsia="仿宋_GB2312" w:cs="仿宋_GB2312"/>
          <w:color w:val="auto"/>
          <w:sz w:val="32"/>
          <w:szCs w:val="32"/>
          <w:lang w:eastAsia="zh-CN"/>
        </w:rPr>
        <w:t>政府</w:t>
      </w:r>
      <w:r>
        <w:rPr>
          <w:rFonts w:hint="eastAsia" w:ascii="仿宋_GB2312" w:hAnsi="仿宋_GB2312" w:eastAsia="仿宋_GB2312" w:cs="仿宋_GB2312"/>
          <w:color w:val="auto"/>
          <w:sz w:val="32"/>
          <w:szCs w:val="32"/>
          <w:lang w:val="en-US" w:eastAsia="zh-CN"/>
        </w:rPr>
        <w:t>信息</w:t>
      </w:r>
      <w:r>
        <w:rPr>
          <w:rFonts w:hint="eastAsia" w:ascii="仿宋_GB2312" w:hAnsi="仿宋_GB2312" w:eastAsia="仿宋_GB2312" w:cs="仿宋_GB2312"/>
          <w:color w:val="auto"/>
          <w:sz w:val="32"/>
          <w:szCs w:val="32"/>
        </w:rPr>
        <w:t>内容</w:t>
      </w:r>
      <w:r>
        <w:rPr>
          <w:rFonts w:hint="eastAsia" w:ascii="仿宋_GB2312" w:hAnsi="仿宋_GB2312" w:eastAsia="仿宋_GB2312" w:cs="仿宋_GB2312"/>
          <w:color w:val="auto"/>
          <w:sz w:val="32"/>
          <w:szCs w:val="32"/>
          <w:lang w:eastAsia="zh-CN"/>
        </w:rPr>
        <w:t>安全发布</w:t>
      </w:r>
      <w:r>
        <w:rPr>
          <w:rFonts w:hint="eastAsia" w:ascii="仿宋_GB2312" w:hAnsi="仿宋_GB2312" w:eastAsia="仿宋_GB2312" w:cs="仿宋_GB2312"/>
          <w:color w:val="auto"/>
          <w:sz w:val="32"/>
          <w:szCs w:val="32"/>
          <w:lang w:val="en-US" w:eastAsia="zh-CN"/>
        </w:rPr>
        <w:t>，对于严重表述错误、泄露个人隐私等问题，第一时间处置。2023年度，县农业农村局无重大信息公开责任追究情况。</w:t>
      </w: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二、主动公开政府信息情况</w:t>
      </w:r>
    </w:p>
    <w:tbl>
      <w:tblPr>
        <w:tblStyle w:val="7"/>
        <w:tblW w:w="8178" w:type="dxa"/>
        <w:jc w:val="center"/>
        <w:shd w:val="clear" w:color="auto" w:fill="FFFFFF"/>
        <w:tblLayout w:type="fixed"/>
        <w:tblCellMar>
          <w:top w:w="0" w:type="dxa"/>
          <w:left w:w="0" w:type="dxa"/>
          <w:bottom w:w="0" w:type="dxa"/>
          <w:right w:w="0" w:type="dxa"/>
        </w:tblCellMar>
      </w:tblPr>
      <w:tblGrid>
        <w:gridCol w:w="3091"/>
        <w:gridCol w:w="1707"/>
        <w:gridCol w:w="244"/>
        <w:gridCol w:w="1173"/>
        <w:gridCol w:w="95"/>
        <w:gridCol w:w="1774"/>
        <w:gridCol w:w="94"/>
      </w:tblGrid>
      <w:tr>
        <w:tblPrEx>
          <w:shd w:val="clear" w:color="auto" w:fill="FFFFFF"/>
          <w:tblCellMar>
            <w:top w:w="0" w:type="dxa"/>
            <w:left w:w="0" w:type="dxa"/>
            <w:bottom w:w="0" w:type="dxa"/>
            <w:right w:w="0" w:type="dxa"/>
          </w:tblCellMar>
        </w:tblPrEx>
        <w:trPr>
          <w:gridAfter w:val="1"/>
          <w:wAfter w:w="94" w:type="dxa"/>
          <w:trHeight w:val="456" w:hRule="atLeast"/>
          <w:jc w:val="center"/>
        </w:trPr>
        <w:tc>
          <w:tcPr>
            <w:tcW w:w="8084" w:type="dxa"/>
            <w:gridSpan w:val="6"/>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color w:val="auto"/>
                <w:sz w:val="21"/>
                <w:szCs w:val="21"/>
              </w:rPr>
            </w:pPr>
            <w:r>
              <w:rPr>
                <w:rFonts w:hint="eastAsia" w:ascii="宋体" w:hAnsi="宋体" w:eastAsia="宋体" w:cs="宋体"/>
                <w:i w:val="0"/>
                <w:caps w:val="0"/>
                <w:color w:val="auto"/>
                <w:spacing w:val="0"/>
                <w:sz w:val="20"/>
                <w:szCs w:val="20"/>
              </w:rPr>
              <w:t>第二十条第（一）项</w:t>
            </w:r>
          </w:p>
        </w:tc>
      </w:tr>
      <w:tr>
        <w:tblPrEx>
          <w:tblCellMar>
            <w:top w:w="0" w:type="dxa"/>
            <w:left w:w="0" w:type="dxa"/>
            <w:bottom w:w="0" w:type="dxa"/>
            <w:right w:w="0" w:type="dxa"/>
          </w:tblCellMar>
        </w:tblPrEx>
        <w:trPr>
          <w:gridAfter w:val="1"/>
          <w:wAfter w:w="94" w:type="dxa"/>
          <w:trHeight w:val="294" w:hRule="atLeast"/>
          <w:jc w:val="center"/>
        </w:trPr>
        <w:tc>
          <w:tcPr>
            <w:tcW w:w="309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170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cs="宋体"/>
                <w:i w:val="0"/>
                <w:caps w:val="0"/>
                <w:color w:val="auto"/>
                <w:spacing w:val="0"/>
                <w:sz w:val="20"/>
                <w:szCs w:val="20"/>
                <w:lang w:val="en-US" w:eastAsia="zh-CN"/>
              </w:rPr>
            </w:pPr>
            <w:r>
              <w:rPr>
                <w:rFonts w:hint="eastAsia" w:ascii="宋体" w:hAnsi="宋体" w:eastAsia="宋体" w:cs="宋体"/>
                <w:i w:val="0"/>
                <w:caps w:val="0"/>
                <w:color w:val="auto"/>
                <w:spacing w:val="0"/>
                <w:sz w:val="20"/>
                <w:szCs w:val="20"/>
              </w:rPr>
              <w:t>本年制</w:t>
            </w:r>
            <w:r>
              <w:rPr>
                <w:rFonts w:hint="eastAsia" w:ascii="宋体" w:hAnsi="宋体" w:cs="宋体"/>
                <w:i w:val="0"/>
                <w:caps w:val="0"/>
                <w:color w:val="auto"/>
                <w:spacing w:val="0"/>
                <w:sz w:val="20"/>
                <w:szCs w:val="20"/>
                <w:lang w:val="en-US" w:eastAsia="zh-CN"/>
              </w:rPr>
              <w:t>发件数</w:t>
            </w:r>
          </w:p>
        </w:tc>
        <w:tc>
          <w:tcPr>
            <w:tcW w:w="141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宋体" w:hAnsi="宋体" w:cs="宋体"/>
                <w:i w:val="0"/>
                <w:caps w:val="0"/>
                <w:color w:val="auto"/>
                <w:spacing w:val="0"/>
                <w:sz w:val="20"/>
                <w:szCs w:val="20"/>
                <w:lang w:val="en-US" w:eastAsia="zh-CN"/>
              </w:rPr>
            </w:pPr>
            <w:r>
              <w:rPr>
                <w:rFonts w:hint="eastAsia" w:ascii="宋体" w:hAnsi="宋体" w:eastAsia="宋体" w:cs="宋体"/>
                <w:i w:val="0"/>
                <w:caps w:val="0"/>
                <w:color w:val="auto"/>
                <w:spacing w:val="0"/>
                <w:sz w:val="20"/>
                <w:szCs w:val="20"/>
              </w:rPr>
              <w:t>本年</w:t>
            </w:r>
            <w:r>
              <w:rPr>
                <w:rFonts w:hint="eastAsia" w:ascii="宋体" w:hAnsi="宋体" w:cs="宋体"/>
                <w:i w:val="0"/>
                <w:caps w:val="0"/>
                <w:color w:val="auto"/>
                <w:spacing w:val="0"/>
                <w:sz w:val="20"/>
                <w:szCs w:val="20"/>
                <w:lang w:val="en-US" w:eastAsia="zh-CN"/>
              </w:rPr>
              <w:t>废止件数</w:t>
            </w:r>
          </w:p>
        </w:tc>
        <w:tc>
          <w:tcPr>
            <w:tcW w:w="1869"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cs="Calibri"/>
                <w:color w:val="auto"/>
                <w:sz w:val="21"/>
                <w:szCs w:val="21"/>
                <w:lang w:val="en-US" w:eastAsia="zh-CN"/>
              </w:rPr>
            </w:pPr>
            <w:r>
              <w:rPr>
                <w:rFonts w:hint="eastAsia" w:cs="Calibri"/>
                <w:color w:val="auto"/>
                <w:sz w:val="21"/>
                <w:szCs w:val="21"/>
                <w:lang w:val="en-US" w:eastAsia="zh-CN"/>
              </w:rPr>
              <w:t>现行有效件数</w:t>
            </w:r>
          </w:p>
        </w:tc>
      </w:tr>
      <w:tr>
        <w:tblPrEx>
          <w:tblCellMar>
            <w:top w:w="0" w:type="dxa"/>
            <w:left w:w="0" w:type="dxa"/>
            <w:bottom w:w="0" w:type="dxa"/>
            <w:right w:w="0" w:type="dxa"/>
          </w:tblCellMar>
        </w:tblPrEx>
        <w:trPr>
          <w:gridAfter w:val="1"/>
          <w:wAfter w:w="94" w:type="dxa"/>
          <w:trHeight w:val="321" w:hRule="atLeast"/>
          <w:jc w:val="center"/>
        </w:trPr>
        <w:tc>
          <w:tcPr>
            <w:tcW w:w="309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规章</w:t>
            </w:r>
          </w:p>
        </w:tc>
        <w:tc>
          <w:tcPr>
            <w:tcW w:w="170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41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0</w:t>
            </w:r>
          </w:p>
        </w:tc>
        <w:tc>
          <w:tcPr>
            <w:tcW w:w="1869"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0</w:t>
            </w:r>
          </w:p>
        </w:tc>
      </w:tr>
      <w:tr>
        <w:tblPrEx>
          <w:tblCellMar>
            <w:top w:w="0" w:type="dxa"/>
            <w:left w:w="0" w:type="dxa"/>
            <w:bottom w:w="0" w:type="dxa"/>
            <w:right w:w="0" w:type="dxa"/>
          </w:tblCellMar>
        </w:tblPrEx>
        <w:trPr>
          <w:gridAfter w:val="1"/>
          <w:wAfter w:w="94" w:type="dxa"/>
          <w:trHeight w:val="294" w:hRule="atLeast"/>
          <w:jc w:val="center"/>
        </w:trPr>
        <w:tc>
          <w:tcPr>
            <w:tcW w:w="309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cs="宋体"/>
                <w:i w:val="0"/>
                <w:caps w:val="0"/>
                <w:color w:val="auto"/>
                <w:spacing w:val="0"/>
                <w:sz w:val="20"/>
                <w:szCs w:val="20"/>
                <w:lang w:val="en-US" w:eastAsia="zh-CN"/>
              </w:rPr>
              <w:t>行政</w:t>
            </w:r>
            <w:r>
              <w:rPr>
                <w:rFonts w:hint="eastAsia" w:ascii="宋体" w:hAnsi="宋体" w:eastAsia="宋体" w:cs="宋体"/>
                <w:i w:val="0"/>
                <w:caps w:val="0"/>
                <w:color w:val="auto"/>
                <w:spacing w:val="0"/>
                <w:sz w:val="20"/>
                <w:szCs w:val="20"/>
              </w:rPr>
              <w:t>规范性文件</w:t>
            </w:r>
          </w:p>
        </w:tc>
        <w:tc>
          <w:tcPr>
            <w:tcW w:w="1707"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417"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1869" w:type="dxa"/>
            <w:gridSpan w:val="2"/>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4" w:type="dxa"/>
          <w:trHeight w:val="294" w:hRule="atLeast"/>
          <w:jc w:val="center"/>
        </w:trPr>
        <w:tc>
          <w:tcPr>
            <w:tcW w:w="8084"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第二十条第（五）项</w:t>
            </w:r>
          </w:p>
        </w:tc>
      </w:tr>
      <w:tr>
        <w:tblPrEx>
          <w:tblCellMar>
            <w:top w:w="0" w:type="dxa"/>
            <w:left w:w="0" w:type="dxa"/>
            <w:bottom w:w="0" w:type="dxa"/>
            <w:right w:w="0" w:type="dxa"/>
          </w:tblCellMar>
        </w:tblPrEx>
        <w:trPr>
          <w:gridAfter w:val="1"/>
          <w:wAfter w:w="94" w:type="dxa"/>
          <w:trHeight w:val="406" w:hRule="atLeast"/>
          <w:jc w:val="center"/>
        </w:trPr>
        <w:tc>
          <w:tcPr>
            <w:tcW w:w="309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4993"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本年处理决定数量</w:t>
            </w:r>
          </w:p>
        </w:tc>
      </w:tr>
      <w:tr>
        <w:tblPrEx>
          <w:tblCellMar>
            <w:top w:w="0" w:type="dxa"/>
            <w:left w:w="0" w:type="dxa"/>
            <w:bottom w:w="0" w:type="dxa"/>
            <w:right w:w="0" w:type="dxa"/>
          </w:tblCellMar>
        </w:tblPrEx>
        <w:trPr>
          <w:gridAfter w:val="1"/>
          <w:wAfter w:w="94" w:type="dxa"/>
          <w:trHeight w:val="352" w:hRule="atLeast"/>
          <w:jc w:val="center"/>
        </w:trPr>
        <w:tc>
          <w:tcPr>
            <w:tcW w:w="309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行政许可</w:t>
            </w:r>
          </w:p>
        </w:tc>
        <w:tc>
          <w:tcPr>
            <w:tcW w:w="4993"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364</w:t>
            </w:r>
          </w:p>
        </w:tc>
      </w:tr>
      <w:tr>
        <w:tblPrEx>
          <w:tblCellMar>
            <w:top w:w="0" w:type="dxa"/>
            <w:left w:w="0" w:type="dxa"/>
            <w:bottom w:w="0" w:type="dxa"/>
            <w:right w:w="0" w:type="dxa"/>
          </w:tblCellMar>
        </w:tblPrEx>
        <w:trPr>
          <w:gridAfter w:val="1"/>
          <w:wAfter w:w="94" w:type="dxa"/>
          <w:trHeight w:val="311" w:hRule="atLeast"/>
          <w:jc w:val="center"/>
        </w:trPr>
        <w:tc>
          <w:tcPr>
            <w:tcW w:w="8084"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第二十条第（六）项</w:t>
            </w:r>
          </w:p>
        </w:tc>
      </w:tr>
      <w:tr>
        <w:tblPrEx>
          <w:tblCellMar>
            <w:top w:w="0" w:type="dxa"/>
            <w:left w:w="0" w:type="dxa"/>
            <w:bottom w:w="0" w:type="dxa"/>
            <w:right w:w="0" w:type="dxa"/>
          </w:tblCellMar>
        </w:tblPrEx>
        <w:trPr>
          <w:gridAfter w:val="1"/>
          <w:wAfter w:w="94" w:type="dxa"/>
          <w:trHeight w:val="446" w:hRule="atLeast"/>
          <w:jc w:val="center"/>
        </w:trPr>
        <w:tc>
          <w:tcPr>
            <w:tcW w:w="309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4993"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cs="Calibri"/>
                <w:color w:val="auto"/>
                <w:sz w:val="21"/>
                <w:szCs w:val="21"/>
                <w:lang w:val="en-US" w:eastAsia="zh-CN"/>
              </w:rPr>
              <w:t>本年处理决定数量</w:t>
            </w:r>
          </w:p>
        </w:tc>
      </w:tr>
      <w:tr>
        <w:tblPrEx>
          <w:tblCellMar>
            <w:top w:w="0" w:type="dxa"/>
            <w:left w:w="0" w:type="dxa"/>
            <w:bottom w:w="0" w:type="dxa"/>
            <w:right w:w="0" w:type="dxa"/>
          </w:tblCellMar>
        </w:tblPrEx>
        <w:trPr>
          <w:gridAfter w:val="1"/>
          <w:wAfter w:w="94" w:type="dxa"/>
          <w:trHeight w:val="306" w:hRule="atLeast"/>
          <w:jc w:val="center"/>
        </w:trPr>
        <w:tc>
          <w:tcPr>
            <w:tcW w:w="309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行政处罚</w:t>
            </w:r>
          </w:p>
        </w:tc>
        <w:tc>
          <w:tcPr>
            <w:tcW w:w="4993"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8</w:t>
            </w:r>
          </w:p>
        </w:tc>
      </w:tr>
      <w:tr>
        <w:tblPrEx>
          <w:tblCellMar>
            <w:top w:w="0" w:type="dxa"/>
            <w:left w:w="0" w:type="dxa"/>
            <w:bottom w:w="0" w:type="dxa"/>
            <w:right w:w="0" w:type="dxa"/>
          </w:tblCellMar>
        </w:tblPrEx>
        <w:trPr>
          <w:gridAfter w:val="1"/>
          <w:wAfter w:w="94" w:type="dxa"/>
          <w:trHeight w:val="380" w:hRule="atLeast"/>
          <w:jc w:val="center"/>
        </w:trPr>
        <w:tc>
          <w:tcPr>
            <w:tcW w:w="309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行政强制</w:t>
            </w:r>
          </w:p>
        </w:tc>
        <w:tc>
          <w:tcPr>
            <w:tcW w:w="4993" w:type="dxa"/>
            <w:gridSpan w:val="5"/>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gridAfter w:val="1"/>
          <w:wAfter w:w="94" w:type="dxa"/>
          <w:trHeight w:val="437" w:hRule="atLeast"/>
          <w:jc w:val="center"/>
        </w:trPr>
        <w:tc>
          <w:tcPr>
            <w:tcW w:w="8084" w:type="dxa"/>
            <w:gridSpan w:val="6"/>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第二十条第（八）项</w:t>
            </w:r>
          </w:p>
        </w:tc>
      </w:tr>
      <w:tr>
        <w:tblPrEx>
          <w:tblCellMar>
            <w:top w:w="0" w:type="dxa"/>
            <w:left w:w="0" w:type="dxa"/>
            <w:bottom w:w="0" w:type="dxa"/>
            <w:right w:w="0" w:type="dxa"/>
          </w:tblCellMar>
        </w:tblPrEx>
        <w:trPr>
          <w:gridAfter w:val="1"/>
          <w:wAfter w:w="94" w:type="dxa"/>
          <w:trHeight w:val="294" w:hRule="atLeast"/>
          <w:jc w:val="center"/>
        </w:trPr>
        <w:tc>
          <w:tcPr>
            <w:tcW w:w="309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信息内容</w:t>
            </w:r>
          </w:p>
        </w:tc>
        <w:tc>
          <w:tcPr>
            <w:tcW w:w="4993" w:type="dxa"/>
            <w:gridSpan w:val="5"/>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本年收费金额（单位：万元）</w:t>
            </w:r>
          </w:p>
        </w:tc>
      </w:tr>
      <w:tr>
        <w:tblPrEx>
          <w:tblCellMar>
            <w:top w:w="0" w:type="dxa"/>
            <w:left w:w="0" w:type="dxa"/>
            <w:bottom w:w="0" w:type="dxa"/>
            <w:right w:w="0" w:type="dxa"/>
          </w:tblCellMar>
        </w:tblPrEx>
        <w:trPr>
          <w:gridAfter w:val="1"/>
          <w:wAfter w:w="94" w:type="dxa"/>
          <w:trHeight w:val="386" w:hRule="atLeast"/>
          <w:jc w:val="center"/>
        </w:trPr>
        <w:tc>
          <w:tcPr>
            <w:tcW w:w="3091"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行政事业性收费</w:t>
            </w:r>
          </w:p>
        </w:tc>
        <w:tc>
          <w:tcPr>
            <w:tcW w:w="4993" w:type="dxa"/>
            <w:gridSpan w:val="5"/>
            <w:tcBorders>
              <w:top w:val="nil"/>
              <w:left w:val="nil"/>
              <w:bottom w:val="single" w:color="auto" w:sz="8" w:space="0"/>
              <w:right w:val="single" w:color="000000" w:sz="8" w:space="0"/>
            </w:tcBorders>
            <w:shd w:val="clear" w:color="auto" w:fill="FFFFFF"/>
            <w:noWrap/>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r>
      <w:tr>
        <w:tblPrEx>
          <w:tblCellMar>
            <w:top w:w="0" w:type="dxa"/>
            <w:left w:w="0" w:type="dxa"/>
            <w:bottom w:w="0" w:type="dxa"/>
            <w:right w:w="0" w:type="dxa"/>
          </w:tblCellMar>
        </w:tblPrEx>
        <w:trPr>
          <w:trHeight w:val="294" w:hRule="atLeast"/>
          <w:jc w:val="center"/>
        </w:trPr>
        <w:tc>
          <w:tcPr>
            <w:tcW w:w="3091"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707"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244" w:type="dxa"/>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268" w:type="dxa"/>
            <w:gridSpan w:val="2"/>
            <w:tcBorders>
              <w:top w:val="nil"/>
              <w:left w:val="nil"/>
              <w:bottom w:val="nil"/>
              <w:right w:val="nil"/>
            </w:tcBorders>
            <w:shd w:val="clear" w:color="auto" w:fill="FFFFFF"/>
            <w:noWrap w:val="0"/>
            <w:vAlign w:val="center"/>
          </w:tcPr>
          <w:p>
            <w:pPr>
              <w:rPr>
                <w:rFonts w:hint="eastAsia" w:ascii="宋体" w:hAnsi="宋体" w:eastAsia="宋体" w:cs="宋体"/>
                <w:i w:val="0"/>
                <w:caps w:val="0"/>
                <w:color w:val="auto"/>
                <w:spacing w:val="0"/>
                <w:sz w:val="24"/>
                <w:szCs w:val="24"/>
              </w:rPr>
            </w:pPr>
          </w:p>
        </w:tc>
        <w:tc>
          <w:tcPr>
            <w:tcW w:w="1868" w:type="dxa"/>
            <w:gridSpan w:val="2"/>
            <w:tcBorders>
              <w:top w:val="nil"/>
              <w:left w:val="nil"/>
              <w:bottom w:val="nil"/>
              <w:right w:val="nil"/>
            </w:tcBorders>
            <w:shd w:val="clear" w:color="auto" w:fill="FFFFFF"/>
            <w:noWrap w:val="0"/>
            <w:vAlign w:val="center"/>
          </w:tcPr>
          <w:p>
            <w:pPr>
              <w:keepNext w:val="0"/>
              <w:keepLines w:val="0"/>
              <w:widowControl/>
              <w:suppressLineNumbers w:val="0"/>
              <w:wordWrap w:val="0"/>
              <w:spacing w:before="0" w:beforeAutospacing="0" w:after="0" w:afterAutospacing="0"/>
              <w:ind w:left="0" w:right="0" w:firstLine="0"/>
              <w:jc w:val="left"/>
              <w:rPr>
                <w:rFonts w:hint="eastAsia" w:ascii="宋体" w:hAnsi="宋体" w:eastAsia="宋体" w:cs="宋体"/>
                <w:i w:val="0"/>
                <w:caps w:val="0"/>
                <w:color w:val="auto"/>
                <w:spacing w:val="0"/>
                <w:sz w:val="24"/>
                <w:szCs w:val="24"/>
              </w:rPr>
            </w:pP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三、收到和处理政府信息公开申请情况</w:t>
      </w:r>
    </w:p>
    <w:tbl>
      <w:tblPr>
        <w:tblStyle w:val="7"/>
        <w:tblW w:w="9071" w:type="dxa"/>
        <w:jc w:val="center"/>
        <w:tblLayout w:type="autofit"/>
        <w:tblCellMar>
          <w:top w:w="0" w:type="dxa"/>
          <w:left w:w="0" w:type="dxa"/>
          <w:bottom w:w="0" w:type="dxa"/>
          <w:right w:w="0" w:type="dxa"/>
        </w:tblCellMar>
      </w:tblPr>
      <w:tblGrid>
        <w:gridCol w:w="616"/>
        <w:gridCol w:w="816"/>
        <w:gridCol w:w="2261"/>
        <w:gridCol w:w="580"/>
        <w:gridCol w:w="772"/>
        <w:gridCol w:w="772"/>
        <w:gridCol w:w="827"/>
        <w:gridCol w:w="976"/>
        <w:gridCol w:w="732"/>
        <w:gridCol w:w="719"/>
      </w:tblGrid>
      <w:tr>
        <w:tblPrEx>
          <w:tblCellMar>
            <w:top w:w="0" w:type="dxa"/>
            <w:left w:w="0" w:type="dxa"/>
            <w:bottom w:w="0" w:type="dxa"/>
            <w:right w:w="0" w:type="dxa"/>
          </w:tblCellMar>
        </w:tblPrEx>
        <w:trPr>
          <w:jc w:val="center"/>
        </w:trPr>
        <w:tc>
          <w:tcPr>
            <w:tcW w:w="3693" w:type="dxa"/>
            <w:gridSpan w:val="3"/>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（本列数据的勾稽关系为：第一项加第二项之和，等于第三项加第四项之和）</w:t>
            </w:r>
          </w:p>
        </w:tc>
        <w:tc>
          <w:tcPr>
            <w:tcW w:w="5378" w:type="dxa"/>
            <w:gridSpan w:val="7"/>
            <w:tcBorders>
              <w:top w:val="single" w:color="auto" w:sz="8" w:space="0"/>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申请人情况</w:t>
            </w:r>
          </w:p>
        </w:tc>
      </w:tr>
      <w:tr>
        <w:tblPrEx>
          <w:tblCellMar>
            <w:top w:w="0" w:type="dxa"/>
            <w:left w:w="0" w:type="dxa"/>
            <w:bottom w:w="0" w:type="dxa"/>
            <w:right w:w="0" w:type="dxa"/>
          </w:tblCellMar>
        </w:tblPrEx>
        <w:trPr>
          <w:jc w:val="center"/>
        </w:trPr>
        <w:tc>
          <w:tcPr>
            <w:tcW w:w="369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580"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自然人</w:t>
            </w:r>
          </w:p>
        </w:tc>
        <w:tc>
          <w:tcPr>
            <w:tcW w:w="4079" w:type="dxa"/>
            <w:gridSpan w:val="5"/>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法人或其他组织</w:t>
            </w:r>
          </w:p>
        </w:tc>
        <w:tc>
          <w:tcPr>
            <w:tcW w:w="719"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总计</w:t>
            </w:r>
          </w:p>
        </w:tc>
      </w:tr>
      <w:tr>
        <w:tblPrEx>
          <w:tblCellMar>
            <w:top w:w="0" w:type="dxa"/>
            <w:left w:w="0" w:type="dxa"/>
            <w:bottom w:w="0" w:type="dxa"/>
            <w:right w:w="0" w:type="dxa"/>
          </w:tblCellMar>
        </w:tblPrEx>
        <w:trPr>
          <w:jc w:val="center"/>
        </w:trPr>
        <w:tc>
          <w:tcPr>
            <w:tcW w:w="3693" w:type="dxa"/>
            <w:gridSpan w:val="3"/>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580"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商业企业</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科研机构</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社会公益组织</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法律服务机构</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其他</w:t>
            </w:r>
          </w:p>
        </w:tc>
        <w:tc>
          <w:tcPr>
            <w:tcW w:w="719"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一、本年新收政府信息公开申请数量</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二、上年结转政府信息公开申请数量</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三、本年度办理结果</w:t>
            </w: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ascii="楷体" w:hAnsi="楷体" w:eastAsia="楷体" w:cs="楷体"/>
                <w:i w:val="0"/>
                <w:caps w:val="0"/>
                <w:color w:val="auto"/>
                <w:spacing w:val="0"/>
                <w:sz w:val="20"/>
                <w:szCs w:val="20"/>
              </w:rPr>
              <w:t>（一）予以公开</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tabs>
                <w:tab w:val="center" w:pos="317"/>
                <w:tab w:val="left" w:pos="461"/>
              </w:tabs>
              <w:wordWrap w:val="0"/>
              <w:spacing w:before="0" w:beforeAutospacing="0" w:after="0" w:afterAutospacing="0"/>
              <w:ind w:left="0" w:leftChars="0" w:right="0" w:rightChars="0"/>
              <w:jc w:val="left"/>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ab/>
            </w: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3077" w:type="dxa"/>
            <w:gridSpan w:val="2"/>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（二）部分公开（区分处理的，只计这一情形，不计其他情形）</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（三）不予公开</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1.属于国家秘密</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2.其他法律行政法规禁止公开</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3.危及“三安全一稳定”</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4.保护第三方合法权益</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5.属于三类内部事务信息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6.属于四类过程性信息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7.属于行政执法案卷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8.属于行政查询事项</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（四）无法提供</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1.本机关不掌握相关政府信息</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2.没有现成信息需要另行制作</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3.补正后申请内容仍不明确</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（五）不予处理</w:t>
            </w: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1.信访举报投诉类申请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2.重复申请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3.要求提供公开出版物</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4.无正当理由大量反复申请</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trHeight w:val="819" w:hRule="atLeast"/>
          <w:jc w:val="center"/>
        </w:trPr>
        <w:tc>
          <w:tcPr>
            <w:tcW w:w="616"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continue"/>
            <w:tcBorders>
              <w:top w:val="nil"/>
              <w:left w:val="nil"/>
              <w:bottom w:val="single" w:color="auto" w:sz="4" w:space="0"/>
              <w:right w:val="single" w:color="auto" w:sz="8"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2261"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5.要求行政机关确认或重新出具已获取信息</w:t>
            </w:r>
          </w:p>
        </w:tc>
        <w:tc>
          <w:tcPr>
            <w:tcW w:w="580"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4"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trHeight w:val="1106" w:hRule="exac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816" w:type="dxa"/>
            <w:vMerge w:val="restart"/>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（六）其他处理</w:t>
            </w: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left"/>
              <w:textAlignment w:val="auto"/>
              <w:rPr>
                <w:rFonts w:hint="default"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1.</w:t>
            </w:r>
            <w:r>
              <w:rPr>
                <w:rFonts w:hint="eastAsia" w:ascii="楷体" w:hAnsi="楷体" w:eastAsia="楷体" w:cs="楷体"/>
                <w:i w:val="0"/>
                <w:caps w:val="0"/>
                <w:color w:val="auto"/>
                <w:spacing w:val="0"/>
                <w:sz w:val="20"/>
                <w:szCs w:val="20"/>
              </w:rPr>
              <w:t>申请人无正当理由逾期不补正、行政机关不再处理其政府信息公开申请</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仿宋_GB2312" w:hAnsi="仿宋_GB2312" w:eastAsia="仿宋_GB2312" w:cs="仿宋_GB2312"/>
                <w:color w:val="auto"/>
                <w:sz w:val="21"/>
                <w:szCs w:val="21"/>
              </w:rPr>
            </w:pPr>
          </w:p>
        </w:tc>
      </w:tr>
      <w:tr>
        <w:tblPrEx>
          <w:tblCellMar>
            <w:top w:w="0" w:type="dxa"/>
            <w:left w:w="0" w:type="dxa"/>
            <w:bottom w:w="0" w:type="dxa"/>
            <w:right w:w="0" w:type="dxa"/>
          </w:tblCellMar>
        </w:tblPrEx>
        <w:trPr>
          <w:trHeight w:val="1106" w:hRule="exac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color w:val="auto"/>
              </w:rPr>
            </w:pPr>
          </w:p>
        </w:tc>
        <w:tc>
          <w:tcPr>
            <w:tcW w:w="816"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color w:val="auto"/>
              </w:rPr>
            </w:pP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left"/>
              <w:textAlignment w:val="auto"/>
              <w:rPr>
                <w:rFonts w:hint="default"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2.</w:t>
            </w:r>
            <w:r>
              <w:rPr>
                <w:rFonts w:hint="eastAsia" w:ascii="楷体" w:hAnsi="楷体" w:eastAsia="楷体" w:cs="楷体"/>
                <w:i w:val="0"/>
                <w:caps w:val="0"/>
                <w:color w:val="auto"/>
                <w:spacing w:val="0"/>
                <w:sz w:val="20"/>
                <w:szCs w:val="20"/>
              </w:rPr>
              <w:t>申请人逾期未按收费通知要求缴纳费用、行政机关不再处理其政府信息公开申请</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00" w:lineRule="exact"/>
              <w:ind w:left="0" w:leftChars="0" w:right="0" w:rightChars="0"/>
              <w:jc w:val="center"/>
              <w:textAlignment w:val="auto"/>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r>
      <w:tr>
        <w:tblPrEx>
          <w:tblCellMar>
            <w:top w:w="0" w:type="dxa"/>
            <w:left w:w="0" w:type="dxa"/>
            <w:bottom w:w="0" w:type="dxa"/>
            <w:right w:w="0" w:type="dxa"/>
          </w:tblCellMar>
        </w:tblPrEx>
        <w:trPr>
          <w:trHeight w:val="312" w:hRule="atLeast"/>
          <w:jc w:val="center"/>
        </w:trPr>
        <w:tc>
          <w:tcPr>
            <w:tcW w:w="616" w:type="dxa"/>
            <w:vMerge w:val="continue"/>
            <w:tcBorders>
              <w:left w:val="single" w:color="auto" w:sz="8" w:space="0"/>
              <w:bottom w:val="single" w:color="auto" w:sz="8"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p>
        </w:tc>
        <w:tc>
          <w:tcPr>
            <w:tcW w:w="816" w:type="dxa"/>
            <w:vMerge w:val="continue"/>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p>
        </w:tc>
        <w:tc>
          <w:tcPr>
            <w:tcW w:w="226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楷体" w:hAnsi="楷体" w:eastAsia="楷体" w:cs="楷体"/>
                <w:i w:val="0"/>
                <w:caps w:val="0"/>
                <w:color w:val="auto"/>
                <w:spacing w:val="0"/>
                <w:sz w:val="20"/>
                <w:szCs w:val="20"/>
              </w:rPr>
            </w:pPr>
            <w:r>
              <w:rPr>
                <w:rFonts w:hint="eastAsia" w:ascii="楷体" w:hAnsi="楷体" w:eastAsia="楷体" w:cs="楷体"/>
                <w:i w:val="0"/>
                <w:caps w:val="0"/>
                <w:color w:val="auto"/>
                <w:spacing w:val="0"/>
                <w:sz w:val="20"/>
                <w:szCs w:val="20"/>
              </w:rPr>
              <w:t>3.其他</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楷体" w:hAnsi="楷体" w:eastAsia="楷体" w:cs="楷体"/>
                <w:i w:val="0"/>
                <w:caps w:val="0"/>
                <w:color w:val="auto"/>
                <w:spacing w:val="0"/>
                <w:sz w:val="20"/>
                <w:szCs w:val="20"/>
                <w:lang w:val="en-US" w:eastAsia="zh-CN"/>
              </w:rPr>
            </w:pPr>
            <w:r>
              <w:rPr>
                <w:rFonts w:hint="eastAsia" w:ascii="楷体" w:hAnsi="楷体" w:eastAsia="楷体" w:cs="楷体"/>
                <w:i w:val="0"/>
                <w:caps w:val="0"/>
                <w:color w:val="auto"/>
                <w:spacing w:val="0"/>
                <w:sz w:val="20"/>
                <w:szCs w:val="20"/>
                <w:lang w:val="en-US" w:eastAsia="zh-CN"/>
              </w:rPr>
              <w:t>0</w:t>
            </w:r>
          </w:p>
        </w:tc>
      </w:tr>
      <w:tr>
        <w:tblPrEx>
          <w:tblCellMar>
            <w:top w:w="0" w:type="dxa"/>
            <w:left w:w="0" w:type="dxa"/>
            <w:bottom w:w="0" w:type="dxa"/>
            <w:right w:w="0" w:type="dxa"/>
          </w:tblCellMar>
        </w:tblPrEx>
        <w:trPr>
          <w:trHeight w:val="534" w:hRule="atLeast"/>
          <w:jc w:val="center"/>
        </w:trPr>
        <w:tc>
          <w:tcPr>
            <w:tcW w:w="616" w:type="dxa"/>
            <w:vMerge w:val="continue"/>
            <w:tcBorders>
              <w:top w:val="nil"/>
              <w:left w:val="single" w:color="auto" w:sz="8" w:space="0"/>
              <w:bottom w:val="single" w:color="auto" w:sz="8" w:space="0"/>
              <w:right w:val="single" w:color="auto" w:sz="4" w:space="0"/>
            </w:tcBorders>
            <w:noWrap w:val="0"/>
            <w:tcMar>
              <w:left w:w="108" w:type="dxa"/>
              <w:right w:w="108" w:type="dxa"/>
            </w:tcMar>
            <w:vAlign w:val="center"/>
          </w:tcPr>
          <w:p>
            <w:pPr>
              <w:rPr>
                <w:rFonts w:hint="eastAsia" w:ascii="仿宋_GB2312" w:hAnsi="仿宋_GB2312" w:eastAsia="仿宋_GB2312" w:cs="仿宋_GB2312"/>
                <w:color w:val="auto"/>
                <w:sz w:val="24"/>
                <w:szCs w:val="24"/>
              </w:rPr>
            </w:pPr>
          </w:p>
        </w:tc>
        <w:tc>
          <w:tcPr>
            <w:tcW w:w="3077" w:type="dxa"/>
            <w:gridSpan w:val="2"/>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楷体" w:hAnsi="楷体" w:eastAsia="楷体" w:cs="楷体"/>
                <w:i w:val="0"/>
                <w:caps w:val="0"/>
                <w:color w:val="auto"/>
                <w:spacing w:val="0"/>
                <w:sz w:val="20"/>
                <w:szCs w:val="20"/>
              </w:rPr>
              <w:t>（七）总计</w:t>
            </w:r>
          </w:p>
        </w:tc>
        <w:tc>
          <w:tcPr>
            <w:tcW w:w="580"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r>
        <w:tblPrEx>
          <w:tblCellMar>
            <w:top w:w="0" w:type="dxa"/>
            <w:left w:w="0" w:type="dxa"/>
            <w:bottom w:w="0" w:type="dxa"/>
            <w:right w:w="0" w:type="dxa"/>
          </w:tblCellMar>
        </w:tblPrEx>
        <w:trPr>
          <w:jc w:val="center"/>
        </w:trPr>
        <w:tc>
          <w:tcPr>
            <w:tcW w:w="3693" w:type="dxa"/>
            <w:gridSpan w:val="3"/>
            <w:tcBorders>
              <w:top w:val="nil"/>
              <w:left w:val="single" w:color="auto" w:sz="8" w:space="0"/>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left"/>
              <w:rPr>
                <w:rFonts w:hint="eastAsia" w:ascii="仿宋_GB2312" w:hAnsi="仿宋_GB2312" w:eastAsia="仿宋_GB2312" w:cs="仿宋_GB2312"/>
                <w:color w:val="auto"/>
                <w:sz w:val="21"/>
                <w:szCs w:val="21"/>
              </w:rPr>
            </w:pPr>
            <w:r>
              <w:rPr>
                <w:rFonts w:hint="eastAsia" w:ascii="宋体" w:hAnsi="宋体" w:eastAsia="宋体" w:cs="宋体"/>
                <w:i w:val="0"/>
                <w:caps w:val="0"/>
                <w:color w:val="auto"/>
                <w:spacing w:val="0"/>
                <w:sz w:val="20"/>
                <w:szCs w:val="20"/>
              </w:rPr>
              <w:t>四、结转下年度继续办理</w:t>
            </w:r>
          </w:p>
        </w:tc>
        <w:tc>
          <w:tcPr>
            <w:tcW w:w="580"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7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827"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976"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32"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c>
          <w:tcPr>
            <w:tcW w:w="719" w:type="dxa"/>
            <w:tcBorders>
              <w:top w:val="nil"/>
              <w:left w:val="nil"/>
              <w:bottom w:val="single" w:color="auto" w:sz="8" w:space="0"/>
              <w:right w:val="single" w:color="auto" w:sz="8" w:space="0"/>
            </w:tcBorders>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leftChars="0" w:right="0" w:rightChars="0" w:firstLine="200" w:firstLineChars="0"/>
              <w:jc w:val="left"/>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政府信息公开行政复议、行政诉讼情况</w:t>
      </w:r>
    </w:p>
    <w:tbl>
      <w:tblPr>
        <w:tblStyle w:val="7"/>
        <w:tblW w:w="9071" w:type="dxa"/>
        <w:jc w:val="center"/>
        <w:shd w:val="clear" w:color="auto" w:fill="FFFFFF"/>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shd w:val="clear" w:color="auto" w:fill="FFFFFF"/>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ascii="Calibri" w:hAnsi="Calibri" w:cs="Calibri"/>
                <w:color w:val="auto"/>
                <w:sz w:val="21"/>
                <w:szCs w:val="21"/>
              </w:rPr>
            </w:pPr>
            <w:r>
              <w:rPr>
                <w:rFonts w:hint="eastAsia" w:ascii="宋体" w:hAnsi="宋体" w:eastAsia="宋体" w:cs="宋体"/>
                <w:i w:val="0"/>
                <w:caps w:val="0"/>
                <w:color w:val="auto"/>
                <w:spacing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4"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58" w:type="dxa"/>
            <w:vMerge w:val="restart"/>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c>
          <w:tcPr>
            <w:tcW w:w="2970"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未经复议直接起诉</w:t>
            </w:r>
          </w:p>
        </w:tc>
        <w:tc>
          <w:tcPr>
            <w:tcW w:w="3027" w:type="dxa"/>
            <w:gridSpan w:val="5"/>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04"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658" w:type="dxa"/>
            <w:vMerge w:val="continue"/>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宋体" w:hAnsi="宋体" w:eastAsia="宋体" w:cs="宋体"/>
                <w:i w:val="0"/>
                <w:caps w:val="0"/>
                <w:color w:val="auto"/>
                <w:spacing w:val="0"/>
                <w:sz w:val="24"/>
                <w:szCs w:val="24"/>
              </w:rPr>
            </w:pPr>
          </w:p>
        </w:tc>
        <w:tc>
          <w:tcPr>
            <w:tcW w:w="55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结果维持</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结果纠正</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其他结果</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尚未审结</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cs="Calibri"/>
                <w:color w:val="auto"/>
                <w:sz w:val="21"/>
                <w:szCs w:val="21"/>
              </w:rPr>
            </w:pPr>
            <w:r>
              <w:rPr>
                <w:rFonts w:hint="eastAsia" w:ascii="宋体" w:hAnsi="宋体" w:eastAsia="宋体" w:cs="宋体"/>
                <w:i w:val="0"/>
                <w:caps w:val="0"/>
                <w:color w:val="auto"/>
                <w:spacing w:val="0"/>
                <w:sz w:val="20"/>
                <w:szCs w:val="20"/>
              </w:rPr>
              <w:t>总计</w:t>
            </w:r>
          </w:p>
        </w:tc>
      </w:tr>
      <w:tr>
        <w:tblPrEx>
          <w:tblCellMar>
            <w:top w:w="0" w:type="dxa"/>
            <w:left w:w="0" w:type="dxa"/>
            <w:bottom w:w="0" w:type="dxa"/>
            <w:right w:w="0" w:type="dxa"/>
          </w:tblCellMar>
        </w:tblPrEx>
        <w:trPr>
          <w:trHeight w:val="587" w:hRule="atLeast"/>
          <w:jc w:val="center"/>
        </w:trPr>
        <w:tc>
          <w:tcPr>
            <w:tcW w:w="60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4"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5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55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5"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c>
          <w:tcPr>
            <w:tcW w:w="60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right="0"/>
              <w:jc w:val="left"/>
              <w:rPr>
                <w:rFonts w:hint="default" w:ascii="Calibri" w:hAnsi="Calibri" w:eastAsia="宋体" w:cs="Calibri"/>
                <w:color w:val="auto"/>
                <w:sz w:val="21"/>
                <w:szCs w:val="21"/>
                <w:lang w:val="en-US" w:eastAsia="zh-CN"/>
              </w:rPr>
            </w:pPr>
            <w:r>
              <w:rPr>
                <w:rFonts w:hint="eastAsia" w:cs="Calibri"/>
                <w:color w:val="auto"/>
                <w:sz w:val="21"/>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五、存在的主要问题及改进措施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（一）存在问题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_GB2312" w:hAnsi="宋体" w:eastAsia="仿宋_GB2312" w:cs="仿宋_GB2312"/>
          <w:i w:val="0"/>
          <w:iCs w:val="0"/>
          <w:caps w:val="0"/>
          <w:color w:val="000000"/>
          <w:spacing w:val="0"/>
          <w:kern w:val="0"/>
          <w:sz w:val="32"/>
          <w:szCs w:val="32"/>
          <w:shd w:val="clear" w:fill="FFFFFF"/>
          <w:lang w:val="en-US" w:eastAsia="zh-CN" w:bidi="ar"/>
        </w:rPr>
      </w:pPr>
      <w:r>
        <w:rPr>
          <w:rFonts w:hint="default" w:ascii="仿宋_GB2312" w:hAnsi="宋体" w:eastAsia="仿宋_GB2312" w:cs="仿宋_GB2312"/>
          <w:i w:val="0"/>
          <w:iCs w:val="0"/>
          <w:caps w:val="0"/>
          <w:color w:val="000000"/>
          <w:spacing w:val="0"/>
          <w:kern w:val="0"/>
          <w:sz w:val="32"/>
          <w:szCs w:val="32"/>
          <w:shd w:val="clear" w:fill="FFFFFF"/>
          <w:lang w:val="en-US" w:eastAsia="zh-CN" w:bidi="ar"/>
        </w:rPr>
        <w:t>1、政务公开信息量少，信息内容单一，人民群众关心的公共事务的决策依据类公开信息不多。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_GB2312" w:hAnsi="宋体" w:eastAsia="仿宋_GB2312" w:cs="仿宋_GB2312"/>
          <w:i w:val="0"/>
          <w:iCs w:val="0"/>
          <w:caps w:val="0"/>
          <w:color w:val="000000"/>
          <w:spacing w:val="0"/>
          <w:kern w:val="0"/>
          <w:sz w:val="32"/>
          <w:szCs w:val="32"/>
          <w:shd w:val="clear" w:fill="FFFFFF"/>
          <w:lang w:val="en-US" w:eastAsia="zh-CN" w:bidi="ar"/>
        </w:rPr>
      </w:pPr>
      <w:r>
        <w:rPr>
          <w:rFonts w:hint="default" w:ascii="仿宋_GB2312" w:hAnsi="宋体" w:eastAsia="仿宋_GB2312" w:cs="仿宋_GB2312"/>
          <w:i w:val="0"/>
          <w:iCs w:val="0"/>
          <w:caps w:val="0"/>
          <w:color w:val="000000"/>
          <w:spacing w:val="0"/>
          <w:kern w:val="0"/>
          <w:sz w:val="32"/>
          <w:szCs w:val="32"/>
          <w:shd w:val="clear" w:fill="FFFFFF"/>
          <w:lang w:val="en-US" w:eastAsia="zh-CN" w:bidi="ar"/>
        </w:rPr>
        <w:t>2、没有专职政务公开工作的人员，政务信息公开工作人员由办公室人员兼任，对政务公开的相关政策存在领会不深、业务不精现象，业务能力需进一步加强。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方正楷体_GBK" w:hAnsi="方正楷体_GBK" w:eastAsia="方正楷体_GBK" w:cs="方正楷体_GBK"/>
          <w:color w:val="FF0000"/>
          <w:sz w:val="32"/>
          <w:szCs w:val="32"/>
          <w:lang w:val="en-US" w:eastAsia="zh-CN"/>
        </w:rPr>
      </w:pPr>
      <w:r>
        <w:rPr>
          <w:rFonts w:hint="default" w:ascii="仿宋_GB2312" w:hAnsi="宋体" w:eastAsia="仿宋_GB2312" w:cs="仿宋_GB2312"/>
          <w:i w:val="0"/>
          <w:iCs w:val="0"/>
          <w:caps w:val="0"/>
          <w:color w:val="000000"/>
          <w:spacing w:val="0"/>
          <w:kern w:val="0"/>
          <w:sz w:val="32"/>
          <w:szCs w:val="32"/>
          <w:shd w:val="clear" w:fill="FFFFFF"/>
          <w:lang w:val="en-US" w:eastAsia="zh-CN" w:bidi="ar"/>
        </w:rPr>
        <w:t>3、政务公开</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方式不够丰富，信息公开不够及时。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（二）改进措施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仿宋_GB2312" w:hAnsi="宋体" w:eastAsia="仿宋_GB2312" w:cs="仿宋_GB2312"/>
          <w:i w:val="0"/>
          <w:iCs w:val="0"/>
          <w:caps w:val="0"/>
          <w:color w:val="000000"/>
          <w:spacing w:val="0"/>
          <w:kern w:val="0"/>
          <w:sz w:val="32"/>
          <w:szCs w:val="32"/>
          <w:shd w:val="clear" w:fill="FFFFFF"/>
          <w:lang w:val="en-US" w:eastAsia="zh-CN" w:bidi="ar"/>
        </w:rPr>
      </w:pPr>
      <w:r>
        <w:rPr>
          <w:rFonts w:hint="default" w:ascii="仿宋_GB2312" w:hAnsi="宋体" w:eastAsia="仿宋_GB2312" w:cs="仿宋_GB2312"/>
          <w:i w:val="0"/>
          <w:iCs w:val="0"/>
          <w:caps w:val="0"/>
          <w:color w:val="000000"/>
          <w:spacing w:val="0"/>
          <w:kern w:val="0"/>
          <w:sz w:val="32"/>
          <w:szCs w:val="32"/>
          <w:shd w:val="clear" w:fill="FFFFFF"/>
          <w:lang w:val="en-US" w:eastAsia="zh-CN" w:bidi="ar"/>
        </w:rPr>
        <w:t>1、进一步加强组织领导，明确推进政务公开的目标任务。要把政务公开工作作为经常性工作列入重要议事日程，从转变政府职能、执政为民、加强党的执政能力建设的高度认识并积极推进这一工作。把政务公开工作作为改善投资和社会环境，全面构建和谐社会的重要内容纳入年度目标任务加以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32"/>
          <w:szCs w:val="32"/>
        </w:rPr>
      </w:pPr>
      <w:r>
        <w:rPr>
          <w:rFonts w:hint="default" w:ascii="仿宋_GB2312" w:hAnsi="宋体" w:eastAsia="仿宋_GB2312" w:cs="仿宋_GB2312"/>
          <w:i w:val="0"/>
          <w:iCs w:val="0"/>
          <w:caps w:val="0"/>
          <w:color w:val="000000"/>
          <w:spacing w:val="0"/>
          <w:kern w:val="0"/>
          <w:sz w:val="32"/>
          <w:szCs w:val="32"/>
          <w:shd w:val="clear" w:fill="FFFFFF"/>
          <w:lang w:val="en-US" w:eastAsia="zh-CN" w:bidi="ar"/>
        </w:rPr>
        <w:t>2、加强培训教育，</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学习先进单位经验，积极参加培训工作，打造</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一支具有现代公共管理知识和理念的政务公开队伍。加强服务意识、专业技能教育，</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培养</w:t>
      </w:r>
      <w:r>
        <w:rPr>
          <w:rFonts w:hint="default" w:ascii="仿宋_GB2312" w:hAnsi="宋体" w:eastAsia="仿宋_GB2312" w:cs="仿宋_GB2312"/>
          <w:i w:val="0"/>
          <w:iCs w:val="0"/>
          <w:caps w:val="0"/>
          <w:color w:val="000000"/>
          <w:spacing w:val="0"/>
          <w:kern w:val="0"/>
          <w:sz w:val="32"/>
          <w:szCs w:val="32"/>
          <w:shd w:val="clear" w:fill="FFFFFF"/>
          <w:lang w:val="en-US" w:eastAsia="zh-CN" w:bidi="ar"/>
        </w:rPr>
        <w:t>一批政务公开的专门人才。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宋体" w:hAnsi="宋体" w:eastAsia="宋体" w:cs="宋体"/>
          <w:i w:val="0"/>
          <w:iCs w:val="0"/>
          <w:caps w:val="0"/>
          <w:color w:val="333333"/>
          <w:spacing w:val="0"/>
          <w:sz w:val="32"/>
          <w:szCs w:val="32"/>
          <w:lang w:val="en-US"/>
        </w:rPr>
      </w:pPr>
      <w:r>
        <w:rPr>
          <w:rFonts w:hint="default" w:ascii="仿宋_GB2312" w:hAnsi="宋体" w:eastAsia="仿宋_GB2312" w:cs="仿宋_GB2312"/>
          <w:i w:val="0"/>
          <w:iCs w:val="0"/>
          <w:caps w:val="0"/>
          <w:color w:val="000000"/>
          <w:spacing w:val="0"/>
          <w:kern w:val="0"/>
          <w:sz w:val="32"/>
          <w:szCs w:val="32"/>
          <w:shd w:val="clear" w:fill="FFFFFF"/>
          <w:lang w:val="en-US" w:eastAsia="zh-CN" w:bidi="ar"/>
        </w:rPr>
        <w:t>3、</w:t>
      </w:r>
      <w:r>
        <w:rPr>
          <w:rFonts w:hint="eastAsia" w:ascii="仿宋_GB2312" w:hAnsi="宋体" w:eastAsia="仿宋_GB2312" w:cs="仿宋_GB2312"/>
          <w:i w:val="0"/>
          <w:iCs w:val="0"/>
          <w:caps w:val="0"/>
          <w:color w:val="000000"/>
          <w:spacing w:val="0"/>
          <w:kern w:val="0"/>
          <w:sz w:val="32"/>
          <w:szCs w:val="32"/>
          <w:shd w:val="clear" w:fill="FFFFFF"/>
          <w:lang w:val="en-US" w:eastAsia="zh-CN" w:bidi="ar"/>
        </w:rPr>
        <w:t>不断创新政务公开工作方法，坚持需求导向，不断提高政务信息的公开实效持续做好政务公开各类信息发布等基础工作，确保政务公开工作的常态化。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按照《国务院办公厅关于印发〈政府信息公开信息处理费管理办法〉的通知》（国办函</w:t>
      </w:r>
      <w:r>
        <w:rPr>
          <w:rFonts w:hint="eastAsia" w:ascii="仿宋_GB2312" w:hAnsi="仿宋_GB2312" w:eastAsia="仿宋_GB2312" w:cs="仿宋_GB2312"/>
          <w:color w:val="auto"/>
          <w:sz w:val="32"/>
          <w:szCs w:val="32"/>
          <w:lang w:val="en-US" w:eastAsia="zh-CN"/>
        </w:rPr>
        <w:t>〔2020〕109</w:t>
      </w:r>
      <w:r>
        <w:rPr>
          <w:rFonts w:hint="eastAsia" w:ascii="仿宋_GB2312" w:hAnsi="仿宋_GB2312" w:eastAsia="仿宋_GB2312" w:cs="仿宋_GB2312"/>
          <w:color w:val="auto"/>
          <w:sz w:val="32"/>
          <w:szCs w:val="32"/>
          <w:lang w:eastAsia="zh-CN"/>
        </w:rPr>
        <w:t>号）规定的按件、按量收费标准，本年度没有产生信息公开处理费。</w:t>
      </w:r>
    </w:p>
    <w:p>
      <w:pPr>
        <w:rPr>
          <w:rFonts w:hint="eastAsia" w:ascii="仿宋_GB2312" w:hAnsi="仿宋_GB2312" w:eastAsia="仿宋_GB2312" w:cs="仿宋_GB2312"/>
          <w:color w:val="auto"/>
          <w:sz w:val="32"/>
          <w:szCs w:val="32"/>
          <w:lang w:eastAsia="zh-CN"/>
        </w:rPr>
      </w:pPr>
    </w:p>
    <w:p>
      <w:pPr>
        <w:pStyle w:val="5"/>
        <w:rPr>
          <w:rFonts w:hint="eastAsia" w:ascii="仿宋_GB2312" w:hAnsi="仿宋_GB2312" w:eastAsia="仿宋_GB2312" w:cs="仿宋_GB2312"/>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仿宋_GB2312" w:hAnsi="仿宋_GB2312" w:eastAsia="仿宋_GB2312" w:cs="仿宋_GB2312"/>
          <w:sz w:val="32"/>
          <w:szCs w:val="32"/>
          <w:lang w:val="en-US" w:eastAsia="zh-CN"/>
        </w:rPr>
        <w:t xml:space="preserve">  来安县农业农村局</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2024年1月23日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NjI3YzUxMzkwODk5NGZmY2Y2NTA5YzFhOGZkM2UifQ=="/>
  </w:docVars>
  <w:rsids>
    <w:rsidRoot w:val="51305279"/>
    <w:rsid w:val="03B46C2F"/>
    <w:rsid w:val="09B5742D"/>
    <w:rsid w:val="15DF7697"/>
    <w:rsid w:val="17DA4A5F"/>
    <w:rsid w:val="17F24764"/>
    <w:rsid w:val="19AF6274"/>
    <w:rsid w:val="216A525D"/>
    <w:rsid w:val="2C9F7BCD"/>
    <w:rsid w:val="2FB67708"/>
    <w:rsid w:val="319E77A9"/>
    <w:rsid w:val="35E84393"/>
    <w:rsid w:val="44E81CBA"/>
    <w:rsid w:val="452131E2"/>
    <w:rsid w:val="49B91E77"/>
    <w:rsid w:val="4DC23403"/>
    <w:rsid w:val="4FC63E91"/>
    <w:rsid w:val="51305279"/>
    <w:rsid w:val="55B21816"/>
    <w:rsid w:val="5DF66750"/>
    <w:rsid w:val="5FE43B5E"/>
    <w:rsid w:val="66E53E53"/>
    <w:rsid w:val="6B0D3978"/>
    <w:rsid w:val="716167CC"/>
    <w:rsid w:val="745436E9"/>
    <w:rsid w:val="74A92964"/>
    <w:rsid w:val="7D575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left="0" w:leftChars="0" w:firstLine="420" w:firstLineChars="200"/>
    </w:pPr>
    <w:rPr>
      <w:rFonts w:ascii="Times New Roman" w:hAnsi="Times New Roman"/>
      <w:sz w:val="24"/>
    </w:rPr>
  </w:style>
  <w:style w:type="paragraph" w:styleId="3">
    <w:name w:val="Body Text Indent"/>
    <w:basedOn w:val="1"/>
    <w:next w:val="4"/>
    <w:autoRedefine/>
    <w:qFormat/>
    <w:uiPriority w:val="0"/>
    <w:pPr>
      <w:widowControl w:val="0"/>
      <w:spacing w:after="120"/>
      <w:ind w:left="200" w:leftChars="200"/>
      <w:jc w:val="both"/>
    </w:pPr>
    <w:rPr>
      <w:kern w:val="2"/>
      <w:sz w:val="21"/>
      <w:szCs w:val="24"/>
      <w:lang w:val="en-US" w:eastAsia="zh-CN" w:bidi="ar-SA"/>
    </w:rPr>
  </w:style>
  <w:style w:type="paragraph" w:styleId="4">
    <w:name w:val="envelope return"/>
    <w:basedOn w:val="1"/>
    <w:autoRedefine/>
    <w:qFormat/>
    <w:uiPriority w:val="0"/>
    <w:pPr>
      <w:snapToGrid w:val="0"/>
    </w:pPr>
    <w:rPr>
      <w:rFonts w:ascii="Arial" w:hAnsi="Arial"/>
    </w:rPr>
  </w:style>
  <w:style w:type="paragraph" w:styleId="5">
    <w:name w:val="table of authorities"/>
    <w:basedOn w:val="1"/>
    <w:next w:val="1"/>
    <w:autoRedefine/>
    <w:semiHidden/>
    <w:qFormat/>
    <w:uiPriority w:val="99"/>
    <w:pPr>
      <w:ind w:left="420" w:leftChars="200"/>
    </w:p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2024-01-15T02:17:00Z</dcterms:created>
  <dc:creator>马晓晨</dc:creator>
  <cp:lastModifiedBy>liu zhigang</cp:lastModifiedBy>
  <dcterms:modified xsi:type="dcterms:W3CDTF">2024-01-30T00:59:06Z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9FF94D1D81E14D2B913CE3A44B13C68F_13</vt:lpwstr>
  </property>
</Properties>
</file>