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来安县</w:t>
      </w:r>
      <w:r>
        <w:rPr>
          <w:rFonts w:hint="eastAsia" w:asciiTheme="majorEastAsia" w:hAnsiTheme="majorEastAsia" w:eastAsiaTheme="majorEastAsia" w:cstheme="majorEastAsia"/>
          <w:b/>
          <w:bCs/>
          <w:sz w:val="44"/>
          <w:szCs w:val="44"/>
        </w:rPr>
        <w:t>林长制改革创新示范点建设</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第</w:t>
      </w:r>
      <w:r>
        <w:rPr>
          <w:rFonts w:hint="eastAsia" w:asciiTheme="majorEastAsia" w:hAnsiTheme="majorEastAsia" w:eastAsiaTheme="majorEastAsia" w:cstheme="majorEastAsia"/>
          <w:b/>
          <w:bCs/>
          <w:sz w:val="44"/>
          <w:szCs w:val="44"/>
        </w:rPr>
        <w:t>二季度</w:t>
      </w:r>
      <w:r>
        <w:rPr>
          <w:rFonts w:hint="eastAsia" w:asciiTheme="majorEastAsia" w:hAnsiTheme="majorEastAsia" w:eastAsiaTheme="majorEastAsia" w:cstheme="majorEastAsia"/>
          <w:b/>
          <w:bCs/>
          <w:sz w:val="44"/>
          <w:szCs w:val="44"/>
          <w:lang w:eastAsia="zh-CN"/>
        </w:rPr>
        <w:t>总结</w:t>
      </w:r>
    </w:p>
    <w:p>
      <w:pPr>
        <w:keepNext w:val="0"/>
        <w:keepLines w:val="0"/>
        <w:pageBreakBefore w:val="0"/>
        <w:kinsoku/>
        <w:wordWrap/>
        <w:overflowPunct/>
        <w:topLinePunct w:val="0"/>
        <w:autoSpaceDE/>
        <w:autoSpaceDN/>
        <w:bidi w:val="0"/>
        <w:adjustRightInd/>
        <w:snapToGrid/>
        <w:spacing w:line="580" w:lineRule="exact"/>
        <w:ind w:firstLine="643" w:firstLineChars="200"/>
        <w:jc w:val="center"/>
        <w:textAlignment w:val="auto"/>
        <w:rPr>
          <w:rFonts w:ascii="仿宋_GB2312" w:hAnsi="仿宋_GB2312" w:eastAsia="仿宋_GB2312"/>
          <w:b/>
          <w:bCs/>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为认真贯彻落实省、市关于林长制改革的决策部署，加快推进林长制改革示范点建设，现将两个示范点</w:t>
      </w:r>
      <w:r>
        <w:rPr>
          <w:rFonts w:hint="eastAsia" w:ascii="仿宋_GB2312" w:hAnsi="仿宋_GB2312" w:eastAsia="仿宋_GB2312" w:cs="仿宋_GB2312"/>
          <w:lang w:eastAsia="zh-CN"/>
        </w:rPr>
        <w:t>第</w:t>
      </w:r>
      <w:r>
        <w:rPr>
          <w:rFonts w:hint="eastAsia" w:ascii="仿宋_GB2312" w:hAnsi="仿宋_GB2312" w:eastAsia="仿宋_GB2312" w:cs="仿宋_GB2312"/>
        </w:rPr>
        <w:t>二季度建设情况汇报如下：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rPr>
      </w:pPr>
      <w:r>
        <w:rPr>
          <w:rFonts w:hint="eastAsia" w:ascii="黑体" w:hAnsi="黑体" w:eastAsia="黑体" w:cs="黑体"/>
        </w:rPr>
        <w:t>一、高度重视，抓好示范点建设</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rPr>
        <w:t>1、成立建设队伍。</w:t>
      </w:r>
      <w:r>
        <w:rPr>
          <w:rFonts w:hint="eastAsia" w:ascii="仿宋_GB2312" w:hAnsi="仿宋_GB2312" w:eastAsia="仿宋_GB2312" w:cs="仿宋_GB2312"/>
        </w:rPr>
        <w:t>为保障建设工作顺利开展，成立了由雷官镇政府主要负责人任组长，分管领导为副组长，相关部门负责人为成员的示范点建设工作领导小组，全面领导和协调示范点建设工作。</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rPr>
        <w:t>2、制定建设规划。</w:t>
      </w:r>
      <w:r>
        <w:rPr>
          <w:rFonts w:hint="eastAsia" w:ascii="仿宋_GB2312" w:hAnsi="仿宋_GB2312" w:eastAsia="仿宋_GB2312" w:cs="仿宋_GB2312"/>
        </w:rPr>
        <w:t>按照建设工作计划和示范点实施方案，制定相应的绿化提升计划，真正把建设工作作为“功在当代、利在千秋”的公益事业和事关群众利益的系统性工程加以认真实施。 </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rPr>
        <w:t>3、深化创建共识。</w:t>
      </w:r>
      <w:r>
        <w:rPr>
          <w:rFonts w:hint="eastAsia" w:ascii="仿宋_GB2312" w:hAnsi="仿宋_GB2312" w:eastAsia="仿宋_GB2312" w:cs="仿宋_GB2312"/>
        </w:rPr>
        <w:t>结合美丽乡村建设及乡村振兴发展，大力宣传林长制改革创新示范点建设，领导小组将建设任务一一分解落实到部门和相关村，明确各自的任务和职责，确保建设责任落到实处。组织开展一系列的示范点建设宣传活动，利用应急广播、宣传栏等方式大力宣传相关建设内容，形成人人支持、人人参与的良好氛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rPr>
      </w:pPr>
      <w:r>
        <w:rPr>
          <w:rFonts w:hint="eastAsia" w:ascii="黑体" w:hAnsi="黑体" w:eastAsia="黑体" w:cs="黑体"/>
        </w:rPr>
        <w:t>二、认真谋划，取得阶段性成效</w:t>
      </w:r>
    </w:p>
    <w:p>
      <w:pPr>
        <w:pStyle w:val="4"/>
        <w:keepNext w:val="0"/>
        <w:keepLines w:val="0"/>
        <w:pageBreakBefore w:val="0"/>
        <w:widowControl/>
        <w:kinsoku/>
        <w:wordWrap/>
        <w:overflowPunct/>
        <w:topLinePunct w:val="0"/>
        <w:autoSpaceDE/>
        <w:autoSpaceDN/>
        <w:bidi w:val="0"/>
        <w:adjustRightInd/>
        <w:snapToGrid/>
        <w:spacing w:beforeAutospacing="0" w:after="0" w:line="580" w:lineRule="exact"/>
        <w:ind w:firstLine="641"/>
        <w:textAlignment w:val="auto"/>
        <w:rPr>
          <w:rFonts w:hint="eastAsia" w:ascii="仿宋_GB2312" w:hAnsi="仿宋_GB2312" w:eastAsia="仿宋_GB2312" w:cs="仿宋_GB2312"/>
          <w:sz w:val="32"/>
        </w:rPr>
      </w:pPr>
      <w:r>
        <w:rPr>
          <w:rFonts w:hint="eastAsia" w:ascii="楷体_GB2312" w:hAnsi="楷体_GB2312" w:eastAsia="楷体_GB2312" w:cs="楷体_GB2312"/>
          <w:b/>
          <w:bCs/>
          <w:sz w:val="32"/>
        </w:rPr>
        <w:t>池杉湖湿地公园。</w:t>
      </w:r>
      <w:r>
        <w:rPr>
          <w:rFonts w:hint="eastAsia" w:ascii="仿宋_GB2312" w:hAnsi="仿宋_GB2312" w:eastAsia="仿宋_GB2312" w:cs="仿宋_GB2312"/>
          <w:b/>
          <w:bCs/>
          <w:sz w:val="32"/>
        </w:rPr>
        <w:t>一是“增绿”。</w:t>
      </w:r>
      <w:r>
        <w:rPr>
          <w:rFonts w:hint="eastAsia" w:ascii="仿宋_GB2312" w:hAnsi="仿宋_GB2312" w:eastAsia="仿宋_GB2312" w:cs="仿宋_GB2312"/>
          <w:spacing w:val="-4"/>
          <w:sz w:val="32"/>
        </w:rPr>
        <w:t>补种池杉树10000</w:t>
      </w:r>
      <w:r>
        <w:rPr>
          <w:rFonts w:hint="eastAsia" w:ascii="仿宋_GB2312" w:hAnsi="仿宋_GB2312" w:eastAsia="仿宋_GB2312" w:cs="仿宋_GB2312"/>
          <w:sz w:val="32"/>
        </w:rPr>
        <w:t>余棵，形成小池杉林，增加湿地池杉面积；开展池杉林生态保育区岸坡植被修复1300米，</w:t>
      </w:r>
      <w:r>
        <w:rPr>
          <w:rFonts w:hint="eastAsia" w:ascii="仿宋_GB2312" w:hAnsi="仿宋_GB2312" w:eastAsia="仿宋_GB2312" w:cs="仿宋_GB2312"/>
          <w:spacing w:val="-4"/>
          <w:sz w:val="32"/>
        </w:rPr>
        <w:t>引进种植数百种荷花、芦苇、香蒲等水生植物以及柳树、香樟树、柿子树等树种，为鸟类生存提供更多理想环境、丰富生物多样性，增强旅游观赏性。</w:t>
      </w:r>
      <w:r>
        <w:rPr>
          <w:rFonts w:hint="eastAsia" w:ascii="仿宋_GB2312" w:hAnsi="仿宋_GB2312" w:eastAsia="仿宋_GB2312" w:cs="仿宋_GB2312"/>
          <w:b/>
          <w:bCs/>
          <w:sz w:val="32"/>
        </w:rPr>
        <w:t>二是“治水”。</w:t>
      </w:r>
      <w:r>
        <w:rPr>
          <w:rFonts w:hint="eastAsia" w:ascii="仿宋_GB2312" w:hAnsi="仿宋_GB2312" w:eastAsia="仿宋_GB2312" w:cs="仿宋_GB2312"/>
          <w:sz w:val="32"/>
        </w:rPr>
        <w:t>争取池杉湖湿地公园配套建设专项债项目入库，投入更多项目扶持，解决资金难的问题，加快池杉湖湿地保护相关功能配套设施建设。将池杉湖水环境治理纳入省湿地保护重点项目库，完善池杉湖内部水循环体系，制定近、远期水环境整治计划和措施。</w:t>
      </w:r>
      <w:r>
        <w:rPr>
          <w:rFonts w:hint="eastAsia" w:ascii="仿宋_GB2312" w:hAnsi="仿宋_GB2312" w:eastAsia="仿宋_GB2312" w:cs="仿宋_GB2312"/>
          <w:b/>
          <w:bCs/>
          <w:sz w:val="32"/>
        </w:rPr>
        <w:t>三是“管绿”。</w:t>
      </w:r>
      <w:r>
        <w:rPr>
          <w:rFonts w:hint="eastAsia" w:ascii="仿宋_GB2312" w:hAnsi="仿宋_GB2312" w:eastAsia="仿宋_GB2312" w:cs="仿宋_GB2312"/>
          <w:sz w:val="32"/>
        </w:rPr>
        <w:t>为保持园区最大程度的“原生态”，在园区建设运营过程中，坚决摒弃大拆大建的做法，以日常维护或“微调”为主。在游客入园前进行园内设施保护宣传，同时安排专人进行不间断巡查，及时制止纠正破坏生态行为。在公园主要边界布设护栏3500米，重点区域配置监控设备，进行24小时监控，最大化地减少人类活动以及农业面源污染对生态环境的影响。</w:t>
      </w:r>
      <w:r>
        <w:rPr>
          <w:rFonts w:hint="eastAsia" w:ascii="仿宋_GB2312" w:hAnsi="仿宋_GB2312" w:eastAsia="仿宋_GB2312" w:cs="仿宋_GB2312"/>
          <w:b/>
          <w:sz w:val="32"/>
        </w:rPr>
        <w:t>四是“提质”。</w:t>
      </w:r>
      <w:r>
        <w:rPr>
          <w:rFonts w:hint="eastAsia" w:ascii="仿宋_GB2312" w:hAnsi="仿宋_GB2312" w:eastAsia="仿宋_GB2312" w:cs="仿宋_GB2312"/>
          <w:sz w:val="32"/>
        </w:rPr>
        <w:t>不断完善基础设施，丰富生态旅游业态。池杉湖道路及公路桥正在加快建设，预计年底实现通车，方便游客入园。</w:t>
      </w:r>
    </w:p>
    <w:p>
      <w:pPr>
        <w:pStyle w:val="4"/>
        <w:keepNext w:val="0"/>
        <w:keepLines w:val="0"/>
        <w:pageBreakBefore w:val="0"/>
        <w:widowControl/>
        <w:kinsoku/>
        <w:wordWrap/>
        <w:overflowPunct/>
        <w:topLinePunct w:val="0"/>
        <w:autoSpaceDE/>
        <w:autoSpaceDN/>
        <w:bidi w:val="0"/>
        <w:adjustRightInd/>
        <w:snapToGrid/>
        <w:spacing w:beforeAutospacing="0" w:after="0" w:line="580" w:lineRule="exact"/>
        <w:ind w:firstLine="641"/>
        <w:textAlignment w:val="auto"/>
        <w:rPr>
          <w:rFonts w:hint="eastAsia" w:ascii="仿宋_GB2312" w:hAnsi="仿宋_GB2312" w:eastAsia="仿宋_GB2312" w:cs="仿宋_GB2312"/>
          <w:spacing w:val="-4"/>
          <w:sz w:val="32"/>
        </w:rPr>
      </w:pPr>
      <w:r>
        <w:rPr>
          <w:rFonts w:hint="eastAsia" w:ascii="楷体_GB2312" w:hAnsi="楷体_GB2312" w:eastAsia="楷体_GB2312" w:cs="楷体_GB2312"/>
          <w:b/>
          <w:bCs/>
          <w:sz w:val="32"/>
        </w:rPr>
        <w:t>埝塘苗木基地。</w:t>
      </w:r>
      <w:r>
        <w:rPr>
          <w:rFonts w:hint="eastAsia" w:ascii="仿宋_GB2312" w:hAnsi="仿宋_GB2312" w:eastAsia="仿宋_GB2312" w:cs="仿宋_GB2312"/>
          <w:b/>
          <w:bCs/>
          <w:sz w:val="32"/>
        </w:rPr>
        <w:t>一是活绿用绿。</w:t>
      </w:r>
      <w:r>
        <w:rPr>
          <w:rFonts w:hint="eastAsia" w:ascii="仿宋_GB2312" w:hAnsi="仿宋_GB2312" w:eastAsia="仿宋_GB2312" w:cs="仿宋_GB2312"/>
          <w:spacing w:val="-4"/>
          <w:sz w:val="32"/>
        </w:rPr>
        <w:t>利用森林资源优势，加快林下经济发展，逐步形成了林养、林苗等特色的林下经济发展模式。推动绿色生态向绿色生产、绿色生活、绿色风尚转化，更好实现绿水青山与金山银山有机统一。</w:t>
      </w:r>
      <w:r>
        <w:rPr>
          <w:rFonts w:hint="eastAsia" w:ascii="仿宋_GB2312" w:hAnsi="仿宋_GB2312" w:eastAsia="仿宋_GB2312" w:cs="仿宋_GB2312"/>
          <w:b/>
          <w:bCs/>
          <w:spacing w:val="-4"/>
          <w:sz w:val="32"/>
        </w:rPr>
        <w:t>二是督查监管。</w:t>
      </w:r>
      <w:r>
        <w:rPr>
          <w:rFonts w:hint="eastAsia" w:ascii="仿宋_GB2312" w:hAnsi="仿宋_GB2312" w:eastAsia="仿宋_GB2312" w:cs="仿宋_GB2312"/>
          <w:spacing w:val="-4"/>
          <w:sz w:val="32"/>
        </w:rPr>
        <w:t>全面落实管理责任，加大林业执法力度，为林业生态建设织密“安全网”，重点围绕森林防火、林业有害生物防控强化日常监测、隐患整治、应急处置。加强林业行政执法队伍建设，落实“五个一”信息管理平台建设。</w:t>
      </w:r>
      <w:r>
        <w:rPr>
          <w:rFonts w:hint="eastAsia" w:ascii="仿宋_GB2312" w:hAnsi="仿宋_GB2312" w:eastAsia="仿宋_GB2312" w:cs="仿宋_GB2312"/>
          <w:b/>
          <w:bCs/>
          <w:spacing w:val="-4"/>
          <w:sz w:val="32"/>
        </w:rPr>
        <w:t>三是加快建设。</w:t>
      </w:r>
      <w:r>
        <w:rPr>
          <w:rFonts w:hint="eastAsia" w:ascii="仿宋_GB2312" w:hAnsi="仿宋_GB2312" w:eastAsia="仿宋_GB2312" w:cs="仿宋_GB2312"/>
          <w:spacing w:val="-4"/>
          <w:sz w:val="32"/>
        </w:rPr>
        <w:t>制定更加符合实际的扶持政策，进一步提高农户的积极性、主动性和创造性。定期组织镇村干部及相关农户外出考察，在熟悉市场的同时进一步拓宽生产、销售等信息渠道。积极招引苗木龙头企业入驻，充分发挥龙头企业示范引领作用。</w:t>
      </w:r>
      <w:r>
        <w:rPr>
          <w:rFonts w:hint="eastAsia" w:ascii="仿宋_GB2312" w:hAnsi="仿宋_GB2312" w:eastAsia="仿宋_GB2312" w:cs="仿宋_GB2312"/>
          <w:b/>
          <w:bCs/>
          <w:spacing w:val="-4"/>
          <w:sz w:val="32"/>
        </w:rPr>
        <w:t>四是打造市场。</w:t>
      </w:r>
      <w:r>
        <w:rPr>
          <w:rFonts w:hint="eastAsia" w:ascii="仿宋_GB2312" w:hAnsi="仿宋_GB2312" w:eastAsia="仿宋_GB2312" w:cs="仿宋_GB2312"/>
          <w:spacing w:val="-4"/>
          <w:sz w:val="32"/>
        </w:rPr>
        <w:t>坚持从实际出发，加强苗木的宣传与销售渠道，开发利用电商中心与微信平台进行宣传销售，利用闲置的埝塘村三联小学建设苗木交易市场，满足群众苗木销售货场需求。</w:t>
      </w:r>
    </w:p>
    <w:p>
      <w:pPr>
        <w:keepNext w:val="0"/>
        <w:keepLines w:val="0"/>
        <w:pageBreakBefore w:val="0"/>
        <w:kinsoku/>
        <w:wordWrap/>
        <w:overflowPunct/>
        <w:topLinePunct w:val="0"/>
        <w:autoSpaceDE/>
        <w:autoSpaceDN/>
        <w:bidi w:val="0"/>
        <w:adjustRightInd/>
        <w:snapToGrid/>
        <w:spacing w:line="580" w:lineRule="exact"/>
        <w:ind w:firstLine="624" w:firstLineChars="200"/>
        <w:textAlignment w:val="auto"/>
        <w:rPr>
          <w:rFonts w:hint="eastAsia" w:ascii="仿宋_GB2312" w:hAnsi="仿宋_GB2312" w:eastAsia="仿宋_GB2312" w:cs="仿宋_GB2312"/>
          <w:spacing w:val="-4"/>
        </w:rPr>
      </w:pPr>
      <w:r>
        <w:rPr>
          <w:rFonts w:hint="eastAsia" w:ascii="仿宋_GB2312" w:hAnsi="仿宋_GB2312" w:eastAsia="仿宋_GB2312" w:cs="仿宋_GB2312"/>
          <w:spacing w:val="-4"/>
        </w:rPr>
        <w:t>截至目前，念塘村已发展特色经济林300余亩、苗木</w:t>
      </w:r>
      <w:r>
        <w:rPr>
          <w:rFonts w:hint="eastAsia" w:ascii="仿宋_GB2312" w:hAnsi="仿宋_GB2312" w:eastAsia="仿宋_GB2312" w:cs="仿宋_GB2312"/>
        </w:rPr>
        <w:t>种植1.5万亩，其中核心区6000亩，带动种植区9000亩，</w:t>
      </w:r>
      <w:r>
        <w:rPr>
          <w:rFonts w:hint="eastAsia" w:ascii="仿宋_GB2312" w:hAnsi="仿宋_GB2312" w:eastAsia="仿宋_GB2312" w:cs="仿宋_GB2312"/>
          <w:spacing w:val="-4"/>
        </w:rPr>
        <w:t>林下经济400亩。做好林业精准扶贫，加大林业扶贫工作力度，逐步完善产业扶贫体系和生态扶贫体系，带动46名贫困户成功脱贫。</w:t>
      </w:r>
    </w:p>
    <w:p>
      <w:pPr>
        <w:keepNext w:val="0"/>
        <w:keepLines w:val="0"/>
        <w:pageBreakBefore w:val="0"/>
        <w:kinsoku/>
        <w:wordWrap/>
        <w:overflowPunct/>
        <w:topLinePunct w:val="0"/>
        <w:autoSpaceDE/>
        <w:autoSpaceDN/>
        <w:bidi w:val="0"/>
        <w:adjustRightInd/>
        <w:snapToGrid/>
        <w:spacing w:line="580" w:lineRule="exact"/>
        <w:ind w:firstLine="624" w:firstLineChars="200"/>
        <w:textAlignment w:val="auto"/>
        <w:rPr>
          <w:rFonts w:hint="eastAsia" w:ascii="黑体" w:hAnsi="黑体" w:eastAsia="黑体" w:cs="黑体"/>
          <w:spacing w:val="-4"/>
        </w:rPr>
      </w:pPr>
      <w:r>
        <w:rPr>
          <w:rFonts w:hint="eastAsia" w:ascii="黑体" w:hAnsi="黑体" w:eastAsia="黑体" w:cs="黑体"/>
          <w:spacing w:val="-4"/>
        </w:rPr>
        <w:t>三、</w:t>
      </w:r>
      <w:r>
        <w:rPr>
          <w:rFonts w:hint="eastAsia" w:ascii="黑体" w:hAnsi="黑体" w:eastAsia="黑体" w:cs="黑体"/>
        </w:rPr>
        <w:t>存在问题</w:t>
      </w:r>
    </w:p>
    <w:p>
      <w:pPr>
        <w:keepNext w:val="0"/>
        <w:keepLines w:val="0"/>
        <w:pageBreakBefore w:val="0"/>
        <w:kinsoku/>
        <w:wordWrap/>
        <w:overflowPunct/>
        <w:topLinePunct w:val="0"/>
        <w:autoSpaceDE/>
        <w:autoSpaceDN/>
        <w:bidi w:val="0"/>
        <w:adjustRightInd/>
        <w:snapToGrid/>
        <w:spacing w:line="580" w:lineRule="exact"/>
        <w:ind w:firstLine="627" w:firstLineChars="200"/>
        <w:textAlignment w:val="auto"/>
        <w:rPr>
          <w:rFonts w:hint="eastAsia" w:ascii="仿宋_GB2312" w:hAnsi="仿宋_GB2312" w:eastAsia="仿宋_GB2312" w:cs="仿宋_GB2312"/>
          <w:b/>
          <w:bCs/>
          <w:spacing w:val="-4"/>
        </w:rPr>
      </w:pPr>
      <w:r>
        <w:rPr>
          <w:rFonts w:hint="eastAsia" w:ascii="仿宋_GB2312" w:hAnsi="仿宋_GB2312" w:eastAsia="仿宋_GB2312" w:cs="仿宋_GB2312"/>
          <w:b/>
          <w:bCs/>
          <w:spacing w:val="-4"/>
        </w:rPr>
        <w:t>池杉湖湿地公园：</w:t>
      </w:r>
    </w:p>
    <w:p>
      <w:pPr>
        <w:keepNext w:val="0"/>
        <w:keepLines w:val="0"/>
        <w:pageBreakBefore w:val="0"/>
        <w:kinsoku/>
        <w:wordWrap/>
        <w:overflowPunct/>
        <w:topLinePunct w:val="0"/>
        <w:autoSpaceDE/>
        <w:autoSpaceDN/>
        <w:bidi w:val="0"/>
        <w:adjustRightInd/>
        <w:snapToGrid/>
        <w:spacing w:line="580" w:lineRule="exact"/>
        <w:ind w:firstLine="645"/>
        <w:textAlignment w:val="auto"/>
        <w:rPr>
          <w:rFonts w:hint="eastAsia" w:ascii="仿宋_GB2312" w:hAnsi="仿宋_GB2312" w:eastAsia="仿宋_GB2312" w:cs="仿宋_GB2312"/>
        </w:rPr>
      </w:pPr>
      <w:r>
        <w:rPr>
          <w:rFonts w:hint="eastAsia" w:ascii="仿宋_GB2312" w:hAnsi="仿宋_GB2312" w:eastAsia="仿宋_GB2312" w:cs="仿宋_GB2312"/>
          <w:bCs/>
        </w:rPr>
        <w:t>1、</w:t>
      </w:r>
      <w:r>
        <w:rPr>
          <w:rFonts w:hint="eastAsia" w:ascii="仿宋_GB2312" w:hAnsi="仿宋_GB2312" w:eastAsia="仿宋_GB2312" w:cs="仿宋_GB2312"/>
        </w:rPr>
        <w:t>苏皖两地对池杉湖湿地公园的保护机构设置还不够健全；区域一体化发展在空间规划方面的对接机制还未建立。</w:t>
      </w:r>
    </w:p>
    <w:p>
      <w:pPr>
        <w:keepNext w:val="0"/>
        <w:keepLines w:val="0"/>
        <w:pageBreakBefore w:val="0"/>
        <w:kinsoku/>
        <w:wordWrap/>
        <w:overflowPunct/>
        <w:topLinePunct w:val="0"/>
        <w:autoSpaceDE/>
        <w:autoSpaceDN/>
        <w:bidi w:val="0"/>
        <w:adjustRightInd/>
        <w:snapToGrid/>
        <w:spacing w:line="580" w:lineRule="exact"/>
        <w:ind w:firstLine="645"/>
        <w:textAlignment w:val="auto"/>
        <w:rPr>
          <w:rFonts w:hint="eastAsia" w:ascii="仿宋_GB2312" w:hAnsi="仿宋_GB2312" w:eastAsia="仿宋_GB2312" w:cs="仿宋_GB2312"/>
        </w:rPr>
      </w:pPr>
      <w:r>
        <w:rPr>
          <w:rFonts w:hint="eastAsia" w:ascii="仿宋_GB2312" w:hAnsi="仿宋_GB2312" w:eastAsia="仿宋_GB2312" w:cs="仿宋_GB2312"/>
        </w:rPr>
        <w:t>2、目前，因池杉湖公路桥正在建设，驱车进入池杉湖仍需绕道江苏。</w:t>
      </w:r>
    </w:p>
    <w:p>
      <w:pPr>
        <w:keepNext w:val="0"/>
        <w:keepLines w:val="0"/>
        <w:pageBreakBefore w:val="0"/>
        <w:kinsoku/>
        <w:wordWrap/>
        <w:overflowPunct/>
        <w:topLinePunct w:val="0"/>
        <w:autoSpaceDE/>
        <w:autoSpaceDN/>
        <w:bidi w:val="0"/>
        <w:adjustRightInd/>
        <w:snapToGrid/>
        <w:spacing w:line="580" w:lineRule="exact"/>
        <w:ind w:firstLine="627" w:firstLineChars="200"/>
        <w:textAlignment w:val="auto"/>
        <w:rPr>
          <w:rFonts w:hint="eastAsia" w:ascii="仿宋_GB2312" w:hAnsi="仿宋_GB2312" w:eastAsia="仿宋_GB2312" w:cs="仿宋_GB2312"/>
          <w:b/>
          <w:bCs/>
          <w:spacing w:val="-4"/>
        </w:rPr>
      </w:pPr>
      <w:r>
        <w:rPr>
          <w:rFonts w:hint="eastAsia" w:ascii="仿宋_GB2312" w:hAnsi="仿宋_GB2312" w:eastAsia="仿宋_GB2312" w:cs="仿宋_GB2312"/>
          <w:b/>
          <w:bCs/>
          <w:spacing w:val="-4"/>
        </w:rPr>
        <w:t>埝塘苗木基地：</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bCs/>
        </w:rPr>
        <w:t>1、缺乏</w:t>
      </w:r>
      <w:r>
        <w:rPr>
          <w:rFonts w:hint="eastAsia" w:ascii="仿宋_GB2312" w:hAnsi="仿宋_GB2312" w:eastAsia="仿宋_GB2312" w:cs="仿宋_GB2312"/>
        </w:rPr>
        <w:t>苗木龙头企业带动，仍然以家庭式生产为主，产品以绿化小苗为主，品种单一，产业集聚效应及产品附加值还有待提高。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国务院印发《关于坚决制止耕地“非农化”行为的通知》，要求采取有力措施，强化监督管理，落实好最严格的耕地保护制度，坚决制止各类耕地“非农化”行为。严禁违规占用耕地绿化造林，禁止占用永久基本农田种植苗木、草皮等用于绿化装饰以及其他破坏耕作层的植物。国家政策的调整对于苗木产业发展可谓晴天霹雳，未来如何破局迷雾重重。</w:t>
      </w:r>
      <w:bookmarkStart w:id="0" w:name="_GoBack"/>
      <w:bookmarkEnd w:id="0"/>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Cs/>
        </w:rPr>
      </w:pPr>
      <w:r>
        <w:rPr>
          <w:rFonts w:hint="eastAsia" w:ascii="黑体" w:hAnsi="黑体" w:eastAsia="黑体" w:cs="黑体"/>
          <w:bCs/>
        </w:rPr>
        <w:t>四、下一步工作打算</w:t>
      </w:r>
    </w:p>
    <w:p>
      <w:pPr>
        <w:keepNext w:val="0"/>
        <w:keepLines w:val="0"/>
        <w:pageBreakBefore w:val="0"/>
        <w:kinsoku/>
        <w:wordWrap/>
        <w:overflowPunct/>
        <w:topLinePunct w:val="0"/>
        <w:autoSpaceDE/>
        <w:autoSpaceDN/>
        <w:bidi w:val="0"/>
        <w:adjustRightInd/>
        <w:snapToGrid/>
        <w:spacing w:line="580" w:lineRule="exact"/>
        <w:ind w:firstLine="645"/>
        <w:textAlignment w:val="auto"/>
        <w:rPr>
          <w:rFonts w:hint="eastAsia" w:ascii="仿宋_GB2312" w:hAnsi="仿宋_GB2312" w:eastAsia="仿宋_GB2312" w:cs="仿宋_GB2312"/>
        </w:rPr>
      </w:pPr>
      <w:r>
        <w:rPr>
          <w:rFonts w:hint="eastAsia" w:ascii="楷体_GB2312" w:hAnsi="楷体_GB2312" w:eastAsia="楷体_GB2312" w:cs="楷体_GB2312"/>
          <w:b/>
          <w:bCs/>
        </w:rPr>
        <w:t>池杉湖湿地公园：</w:t>
      </w:r>
      <w:r>
        <w:rPr>
          <w:rFonts w:hint="eastAsia" w:ascii="仿宋_GB2312" w:hAnsi="仿宋_GB2312" w:eastAsia="仿宋_GB2312" w:cs="仿宋_GB2312"/>
          <w:b/>
          <w:bCs/>
        </w:rPr>
        <w:t>一是</w:t>
      </w:r>
      <w:r>
        <w:rPr>
          <w:rFonts w:hint="eastAsia" w:ascii="仿宋_GB2312" w:hAnsi="仿宋_GB2312" w:eastAsia="仿宋_GB2312" w:cs="仿宋_GB2312"/>
          <w:b/>
        </w:rPr>
        <w:t>加强生态保护规划对接。</w:t>
      </w:r>
      <w:r>
        <w:rPr>
          <w:rFonts w:hint="eastAsia" w:ascii="仿宋_GB2312" w:hAnsi="仿宋_GB2312" w:eastAsia="仿宋_GB2312" w:cs="仿宋_GB2312"/>
        </w:rPr>
        <w:t>按照保护为主、适度开发的宗旨，与南京市六合区科学合理制定池杉湖湿地公园各功能区域的保护和利用规划。双方在规划上要共商共议，确保规划的整体性和科学性。</w:t>
      </w:r>
      <w:r>
        <w:rPr>
          <w:rFonts w:hint="eastAsia" w:ascii="仿宋_GB2312" w:hAnsi="仿宋_GB2312" w:eastAsia="仿宋_GB2312" w:cs="仿宋_GB2312"/>
          <w:b/>
          <w:bCs/>
        </w:rPr>
        <w:t>二是推动湿地保护共建共享。</w:t>
      </w:r>
      <w:r>
        <w:rPr>
          <w:rFonts w:hint="eastAsia" w:ascii="仿宋_GB2312" w:hAnsi="仿宋_GB2312" w:eastAsia="仿宋_GB2312" w:cs="仿宋_GB2312"/>
        </w:rPr>
        <w:t>来安县与六合区分别成立池杉湖湿地管理站，负责对池杉湖湿地公园的指导、监督和管理，从根本上解决机构和人员的问题。</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rPr>
        <w:t>埝塘苗木基地：</w:t>
      </w:r>
      <w:r>
        <w:rPr>
          <w:rFonts w:hint="eastAsia" w:ascii="仿宋_GB2312" w:hAnsi="仿宋_GB2312" w:eastAsia="仿宋_GB2312" w:cs="仿宋_GB2312"/>
        </w:rPr>
        <w:t>制定更加符合实际的扶持政策，进一步提高农户的积极性、主动性和创造性。定期组织镇村干部及相关农户外出考察，在熟悉市场的同时进一步拓宽生产、销售等信息渠道。积极招引苗木龙头企业入驻，充分发挥龙头企业示范引领作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580" w:lineRule="exact"/>
        <w:ind w:firstLine="640" w:firstLineChars="200"/>
        <w:jc w:val="center"/>
        <w:textAlignment w:val="auto"/>
        <w:rPr>
          <w:rFonts w:hint="eastAsia" w:ascii="仿宋_GB2312" w:hAnsi="仿宋_GB2312" w:eastAsia="仿宋_GB2312" w:cs="仿宋_GB2312"/>
        </w:rPr>
      </w:pPr>
      <w:r>
        <w:rPr>
          <w:rFonts w:hint="eastAsia" w:ascii="仿宋_GB2312" w:hAnsi="仿宋_GB2312" w:eastAsia="仿宋_GB2312" w:cs="仿宋_GB2312"/>
        </w:rPr>
        <w:t xml:space="preserve">                 2021年6月23日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C6039"/>
    <w:rsid w:val="00120543"/>
    <w:rsid w:val="00176FEA"/>
    <w:rsid w:val="002E65F4"/>
    <w:rsid w:val="003A692C"/>
    <w:rsid w:val="004A645E"/>
    <w:rsid w:val="00572EDF"/>
    <w:rsid w:val="008561FF"/>
    <w:rsid w:val="00983FE8"/>
    <w:rsid w:val="009B0B8B"/>
    <w:rsid w:val="00C47F16"/>
    <w:rsid w:val="00CA0A89"/>
    <w:rsid w:val="00E11BEC"/>
    <w:rsid w:val="00F968FD"/>
    <w:rsid w:val="027F40E3"/>
    <w:rsid w:val="05515D27"/>
    <w:rsid w:val="09526614"/>
    <w:rsid w:val="11BD77C5"/>
    <w:rsid w:val="154E0C28"/>
    <w:rsid w:val="1AB42ABB"/>
    <w:rsid w:val="23CC7DDB"/>
    <w:rsid w:val="25640A4C"/>
    <w:rsid w:val="281C6039"/>
    <w:rsid w:val="2A3D2D6D"/>
    <w:rsid w:val="2F732867"/>
    <w:rsid w:val="306C4691"/>
    <w:rsid w:val="36B669F8"/>
    <w:rsid w:val="373E549D"/>
    <w:rsid w:val="44476556"/>
    <w:rsid w:val="4D6239C4"/>
    <w:rsid w:val="52CC76DB"/>
    <w:rsid w:val="562D0E00"/>
    <w:rsid w:val="58996625"/>
    <w:rsid w:val="591C7EA9"/>
    <w:rsid w:val="5930300A"/>
    <w:rsid w:val="597623DA"/>
    <w:rsid w:val="74D75FF7"/>
    <w:rsid w:val="759F17D7"/>
    <w:rsid w:val="77433FD6"/>
    <w:rsid w:val="7A9E6D7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_GB2312"/>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Autospacing="1" w:after="142"/>
    </w:pPr>
    <w:rPr>
      <w:rFonts w:cs="Times New Roman"/>
      <w:kern w:val="0"/>
      <w:sz w:val="24"/>
    </w:rPr>
  </w:style>
  <w:style w:type="character" w:styleId="7">
    <w:name w:val="FollowedHyperlink"/>
    <w:basedOn w:val="6"/>
    <w:semiHidden/>
    <w:unhideWhenUsed/>
    <w:qFormat/>
    <w:uiPriority w:val="99"/>
    <w:rPr>
      <w:color w:val="800000"/>
      <w:u w:val="single"/>
    </w:rPr>
  </w:style>
  <w:style w:type="character" w:styleId="8">
    <w:name w:val="Hyperlink"/>
    <w:basedOn w:val="6"/>
    <w:semiHidden/>
    <w:unhideWhenUsed/>
    <w:qFormat/>
    <w:uiPriority w:val="99"/>
    <w:rPr>
      <w:color w:val="0000FF"/>
      <w:u w:val="single"/>
    </w:rPr>
  </w:style>
  <w:style w:type="paragraph" w:customStyle="1" w:styleId="9">
    <w:name w:val="cjk"/>
    <w:basedOn w:val="1"/>
    <w:qFormat/>
    <w:uiPriority w:val="0"/>
    <w:pPr>
      <w:jc w:val="left"/>
    </w:pPr>
    <w:rPr>
      <w:rFonts w:ascii="等线" w:hAnsi="等线" w:eastAsia="等线" w:cs="Times New Roman"/>
      <w:kern w:val="0"/>
      <w:sz w:val="20"/>
      <w:szCs w:val="20"/>
    </w:rPr>
  </w:style>
  <w:style w:type="character" w:customStyle="1" w:styleId="10">
    <w:name w:val="页眉 Char"/>
    <w:basedOn w:val="6"/>
    <w:link w:val="3"/>
    <w:semiHidden/>
    <w:qFormat/>
    <w:uiPriority w:val="99"/>
    <w:rPr>
      <w:rFonts w:ascii="Calibri" w:hAnsi="Calibri" w:cs="仿宋_GB2312"/>
      <w:kern w:val="2"/>
      <w:sz w:val="18"/>
      <w:szCs w:val="18"/>
    </w:rPr>
  </w:style>
  <w:style w:type="character" w:customStyle="1" w:styleId="11">
    <w:name w:val="页脚 Char"/>
    <w:basedOn w:val="6"/>
    <w:link w:val="2"/>
    <w:semiHidden/>
    <w:qFormat/>
    <w:uiPriority w:val="99"/>
    <w:rPr>
      <w:rFonts w:ascii="Calibri" w:hAnsi="Calibri" w:cs="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Words>
  <Characters>1756</Characters>
  <Lines>14</Lines>
  <Paragraphs>4</Paragraphs>
  <TotalTime>51</TotalTime>
  <ScaleCrop>false</ScaleCrop>
  <LinksUpToDate>false</LinksUpToDate>
  <CharactersWithSpaces>2059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2021-03-18T01:25:00Z</dcterms:created>
  <dc:creator>兰</dc:creator>
  <cp:lastModifiedBy>猫城</cp:lastModifiedBy>
  <cp:lastPrinted>2021-03-24T02:32:00Z</cp:lastPrinted>
  <dcterms:modified xsi:type="dcterms:W3CDTF">2021-06-24T09:06:32Z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2AE6E0ABA02A499381351231FFDC6E3A</vt:lpwstr>
  </property>
</Properties>
</file>